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center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  <w:u w:val="single"/>
        </w:rPr>
        <w:t>TERMO DE REFERÊNCIA – LEI 14.133/21 de 01 de abril de 2021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iCs/>
          <w:color w:val="000000"/>
          <w:sz w:val="22"/>
          <w:szCs w:val="22"/>
        </w:rPr>
        <w:t>AQUISIÇÃO DE MATERIAIS DIVERSOS DE CONSTRUÇÃO</w:t>
      </w:r>
      <w:r>
        <w:rPr>
          <w:rFonts w:eastAsia="Arial" w:cs="Arial" w:ascii="Verdana" w:hAnsi="Verdana"/>
          <w:b/>
          <w:bCs/>
          <w:iCs/>
          <w:color w:val="000000"/>
          <w:kern w:val="0"/>
          <w:sz w:val="22"/>
          <w:szCs w:val="22"/>
          <w:shd w:fill="auto" w:val="clear"/>
          <w:lang w:val="pt-BR" w:eastAsia="zh-CN" w:bidi="ar-SA"/>
        </w:rPr>
        <w:t xml:space="preserve"> PARA ATENDIMENTO DAS NECESSIDADES DE MANUTENÇÃO CORRETIVA E PREVENTIVA E REPAROS GERAIS PARA OS BENS PATRIMONIAIS DA PREFEITURA MUNICIPAL DE SÃO GABRIEL DA PALHA.</w:t>
      </w:r>
    </w:p>
    <w:p>
      <w:pPr>
        <w:pStyle w:val="Normal"/>
        <w:spacing w:lineRule="auto" w:line="240"/>
        <w:jc w:val="center"/>
        <w:rPr>
          <w:rFonts w:ascii="Verdana" w:hAnsi="Verdana" w:eastAsia="Arial" w:cs="Arial"/>
          <w:b/>
          <w:bCs/>
          <w:iCs/>
          <w:color w:val="000000"/>
          <w:kern w:val="0"/>
          <w:sz w:val="22"/>
          <w:szCs w:val="22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/>
          <w:bCs/>
          <w:iCs/>
          <w:color w:val="000000"/>
          <w:kern w:val="0"/>
          <w:sz w:val="22"/>
          <w:szCs w:val="22"/>
          <w:shd w:fill="auto" w:val="clear"/>
          <w:lang w:val="pt-BR" w:eastAsia="zh-CN" w:bidi="ar-SA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 xml:space="preserve">Processo Administrativo nº 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002285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/2025 de 26 de março de 2025 (</w:t>
      </w:r>
      <w:r>
        <w:rPr>
          <w:rFonts w:eastAsia="Times New Roman" w:cs="Arial" w:ascii="Verdana" w:hAnsi="Verdana"/>
          <w:b/>
          <w:bCs/>
          <w:iCs/>
          <w:color w:val="000000"/>
          <w:kern w:val="0"/>
          <w:sz w:val="22"/>
          <w:szCs w:val="22"/>
          <w:lang w:val="pt-BR" w:eastAsia="pt-BR" w:bidi="ar-SA"/>
        </w:rPr>
        <w:t>Secretaria Municipal de Obras e Desenvolvimento Urbano</w:t>
      </w:r>
      <w:r>
        <w:rPr>
          <w:rFonts w:cs="Arial" w:ascii="Verdana" w:hAnsi="Verdana"/>
          <w:b/>
          <w:bCs/>
          <w:iCs/>
          <w:color w:val="000000"/>
          <w:sz w:val="22"/>
          <w:szCs w:val="22"/>
        </w:rPr>
        <w:t>)</w:t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240"/>
        <w:jc w:val="center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1. DAS CONDIÇÕES GERAIS DA CONTRATAÇÃO </w:t>
      </w:r>
    </w:p>
    <w:p>
      <w:pPr>
        <w:pStyle w:val="Normal"/>
        <w:tabs>
          <w:tab w:val="clear" w:pos="708"/>
          <w:tab w:val="left" w:pos="567" w:leader="none"/>
        </w:tabs>
        <w:spacing w:lineRule="auto" w:line="360"/>
        <w:ind w:hanging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1.1. Registro de preços </w:t>
      </w:r>
      <w:r>
        <w:rPr>
          <w:rFonts w:eastAsia="Times New Roman" w:cs="Times New Roman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para a</w:t>
      </w:r>
      <w:r>
        <w:rPr>
          <w:rFonts w:eastAsia="Arial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 xml:space="preserve">quisição de materiais diversos de construção, para atendimento das necessidades de manutenção corretiva e preventiva e reparos gerais dos bens patrimoniais da Prefeitura Municipal de São Gabriel da Palha,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em atendimento as necessidades da Secretaria Municipal de Obras e Desenvolvimento Urbano,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lang w:val="pt-BR" w:eastAsia="pt-BR" w:bidi="ar-SA"/>
        </w:rPr>
        <w:t xml:space="preserve"> </w:t>
      </w:r>
      <w:r>
        <w:rPr>
          <w:rFonts w:ascii="Verdana" w:hAnsi="Verdana"/>
          <w:color w:val="000000"/>
          <w:sz w:val="22"/>
          <w:szCs w:val="22"/>
        </w:rPr>
        <w:t>conforme condições e exigências estabelecidas neste instrumento e no ETP e DFD elaborado pela requente.</w:t>
      </w:r>
    </w:p>
    <w:p>
      <w:pPr>
        <w:pStyle w:val="Normal"/>
        <w:spacing w:lineRule="auto" w:line="36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tbl>
      <w:tblPr>
        <w:tblW w:w="9983" w:type="dxa"/>
        <w:jc w:val="left"/>
        <w:tblInd w:w="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745"/>
        <w:gridCol w:w="3405"/>
        <w:gridCol w:w="1650"/>
        <w:gridCol w:w="1067"/>
        <w:gridCol w:w="1416"/>
        <w:gridCol w:w="1700"/>
      </w:tblGrid>
      <w:tr>
        <w:trPr>
          <w:trHeight w:val="269" w:hRule="atLeast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Mão de obra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cs="Arial" w:ascii="Verdana" w:hAnsi="Verdana"/>
                <w:b/>
                <w:bCs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Quant.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estimado unitário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estimado total</w:t>
            </w:r>
          </w:p>
        </w:tc>
      </w:tr>
      <w:tr>
        <w:trPr>
          <w:trHeight w:val="121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01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Conj. </w:t>
            </w:r>
            <w:r>
              <w:rPr>
                <w:rFonts w:ascii="Verdana" w:hAnsi="Verdana"/>
                <w:sz w:val="22"/>
                <w:szCs w:val="22"/>
              </w:rPr>
              <w:t>d</w:t>
            </w:r>
            <w:r>
              <w:rPr>
                <w:rFonts w:ascii="Verdana" w:hAnsi="Verdana"/>
                <w:sz w:val="22"/>
                <w:szCs w:val="22"/>
              </w:rPr>
              <w:t>e ferragens para porta de vidro temperado, em zamac cromado, contemplando: dobradiça inf.; dobradiça sup.; pivo para dobradiça inf.; pivo para dobradiça sup.; fechadura</w:t>
            </w:r>
          </w:p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Central em zamc cromado; contra fechadura de pressão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28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conjunto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171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R$ 171,78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R$ 1.717,80</w:t>
            </w:r>
          </w:p>
        </w:tc>
      </w:tr>
      <w:tr>
        <w:trPr>
          <w:trHeight w:val="269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02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>
              <w:rPr>
                <w:rFonts w:ascii="Verdana" w:hAnsi="Verdana"/>
                <w:sz w:val="22"/>
                <w:szCs w:val="22"/>
              </w:rPr>
              <w:t xml:space="preserve">laca de inauguração metálica, *40* cm x *60* cm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9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und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19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R$ 405,25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R$ 12.157,50</w:t>
            </w:r>
          </w:p>
        </w:tc>
      </w:tr>
      <w:tr>
        <w:trPr>
          <w:trHeight w:val="269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03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Vidro liso incolor 4mm – sem colocação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m²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R$ 148,00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R$17.760,00</w:t>
            </w:r>
          </w:p>
        </w:tc>
      </w:tr>
      <w:tr>
        <w:trPr>
          <w:trHeight w:val="347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04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Vidro temperado incolor e = 6 mm, sem colocação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m²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6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R$ 287,07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R$ 34.448,40</w:t>
            </w:r>
          </w:p>
        </w:tc>
      </w:tr>
      <w:tr>
        <w:trPr>
          <w:trHeight w:val="269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05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Vidro temperado incolor para porta de abrir, e = 10 mm (sem ferragens e sem colocação)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m²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171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50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R$ 528,12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R$ 26.406,00</w:t>
            </w:r>
          </w:p>
        </w:tc>
      </w:tr>
      <w:tr>
        <w:trPr>
          <w:trHeight w:val="269" w:hRule="atLeast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06</w:t>
            </w:r>
          </w:p>
        </w:tc>
        <w:tc>
          <w:tcPr>
            <w:tcW w:w="3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30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</w:t>
            </w:r>
            <w:r>
              <w:rPr>
                <w:rFonts w:ascii="Verdana" w:hAnsi="Verdana"/>
                <w:sz w:val="22"/>
                <w:szCs w:val="22"/>
              </w:rPr>
              <w:t xml:space="preserve">orta vidro temperado incolor, 2 folhas de correr, e = 10 mm (instalada) </w:t>
            </w:r>
          </w:p>
        </w:tc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1" w:after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m²</w:t>
            </w:r>
          </w:p>
        </w:tc>
        <w:tc>
          <w:tcPr>
            <w:tcW w:w="1067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/>
              <w:ind w:left="171" w:right="0"/>
              <w:jc w:val="both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20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R$ 591,92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TableParagraph"/>
              <w:spacing w:lineRule="auto" w:line="360" w:before="73" w:after="0"/>
              <w:ind w:left="0" w:right="47"/>
              <w:jc w:val="both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  <w:t>R$ 11.838,40</w:t>
            </w:r>
          </w:p>
        </w:tc>
      </w:tr>
      <w:tr>
        <w:trPr>
          <w:trHeight w:val="269" w:hRule="atLeast"/>
        </w:trPr>
        <w:tc>
          <w:tcPr>
            <w:tcW w:w="998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</w:rPr>
            </w:r>
          </w:p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Valor Total Estimado: R$ 104.328,10 (cento e quatro mil trezentos e vinte e oito reais e dez centavos)</w:t>
            </w:r>
          </w:p>
          <w:p>
            <w:pPr>
              <w:pStyle w:val="Contedodatabelauser"/>
              <w:widowControl w:val="false"/>
              <w:spacing w:lineRule="auto" w:line="360"/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36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67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1.2. O prazo de vigência da contratação será de 12 (doze) meses contados do(a) </w:t>
      </w:r>
      <w:r>
        <w:rPr>
          <w:rFonts w:cs="Arial" w:ascii="Verdana" w:hAnsi="Verdana"/>
          <w:bCs/>
          <w:iCs/>
          <w:color w:val="000000"/>
          <w:sz w:val="22"/>
          <w:szCs w:val="22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2"/>
          <w:szCs w:val="22"/>
          <w:lang w:val="pt-BR" w:eastAsia="pt-BR" w:bidi="ar-SA"/>
        </w:rPr>
        <w:t>da Ata de Registro de Preços</w:t>
      </w:r>
      <w:r>
        <w:rPr>
          <w:rFonts w:cs="Arial" w:ascii="Verdana" w:hAnsi="Verdana"/>
          <w:bCs/>
          <w:iCs/>
          <w:color w:val="000000"/>
          <w:sz w:val="22"/>
          <w:szCs w:val="22"/>
        </w:rPr>
        <w:t>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1.3.</w:t>
      </w: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O custo estimado total da contratação é de</w:t>
      </w:r>
      <w:r>
        <w:rPr>
          <w:rFonts w:eastAsia="Times New Roman" w:cs="Times New Roman" w:ascii="Verdana" w:hAnsi="Verdana"/>
          <w:b w:val="false"/>
          <w:bCs w:val="false"/>
          <w:i/>
          <w:iCs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R$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104.328,10 (cento e quatro mil trezentos e vinte e oito reais e dez centavos).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Para fins de classificação, será considerado o menor preço por item.</w:t>
      </w:r>
      <w:r>
        <w:rPr>
          <w:rFonts w:eastAsia="Times New Roman" w:cs="Times New Roman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</w:t>
      </w: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conforme custos unitários apostos nas planilhas includas nos autos pela requerente e no quadro comparativo de preços simples em anexo.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0" w:leader="none"/>
        </w:tabs>
        <w:suppressAutoHyphens w:val="false"/>
        <w:spacing w:lineRule="auto" w:line="24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2. DESCRIÇÃO DA NECESSIDADE DA CONTRATAÇÃO 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>2.1. A aquisição de materiais de construção é essencial para a manutenção e execução de obras públicas, reformas e adequações de prédios municipais, estradas e outros espaços públicos. O registro de preços possibilita a padronização dos insumos e a previsibilidade orçamentária.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 xml:space="preserve">2.2. </w:t>
      </w:r>
      <w:r>
        <w:rPr>
          <w:rFonts w:eastAsia="Arial" w:cs="Times New Roman" w:ascii="Verdana" w:hAnsi="Verdana"/>
          <w:b w:val="false"/>
          <w:bCs w:val="false"/>
          <w:color w:val="auto"/>
          <w:sz w:val="22"/>
          <w:szCs w:val="22"/>
        </w:rPr>
        <w:t>A compra dos materiais, justifica-se devido a falta dos mesmos no almoxarifado central e da grande necessidade diária para realização de reparos e manutenções das instalações de Unidades Administrativas e operacionais da Prefeitura.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sz w:val="22"/>
          <w:szCs w:val="22"/>
        </w:rPr>
        <w:t>2.3. R</w:t>
      </w:r>
      <w:r>
        <w:rPr>
          <w:rFonts w:eastAsia="Arial" w:cs="Times New Roman" w:ascii="Verdana" w:hAnsi="Verdana"/>
          <w:b w:val="false"/>
          <w:bCs w:val="false"/>
          <w:color w:val="000000"/>
          <w:sz w:val="22"/>
          <w:szCs w:val="22"/>
          <w:shd w:fill="auto" w:val="clear"/>
        </w:rPr>
        <w:t>esta evidenciado o interesse público da efetividade da contratação, que deverá ser acompanhada e fiscalizada por esta administração. O interesse público na contratação será alcançado quando os servidores puderem utilizar os materiais nas suas atividades laborais diárias, sem problemas constantes da falta, além de proporcionar economicidade e rapidez nas ações realizadas.</w:t>
      </w:r>
    </w:p>
    <w:p>
      <w:pPr>
        <w:pStyle w:val="Normal"/>
        <w:spacing w:lineRule="auto" w:line="360" w:before="0" w:after="0"/>
        <w:jc w:val="both"/>
        <w:rPr>
          <w:rFonts w:ascii="Verdana" w:hAnsi="Verdana" w:eastAsia="Arial" w:cs="Arial"/>
          <w:b/>
          <w:bCs/>
          <w:color w:val="000000"/>
          <w:sz w:val="22"/>
          <w:szCs w:val="22"/>
          <w:shd w:fill="auto" w:val="clear"/>
        </w:rPr>
      </w:pPr>
      <w:r>
        <w:rPr>
          <w:rFonts w:eastAsia="Arial" w:cs="Arial" w:ascii="Verdana" w:hAnsi="Verdana"/>
          <w:b/>
          <w:bCs/>
          <w:color w:val="000000"/>
          <w:sz w:val="22"/>
          <w:szCs w:val="22"/>
          <w:shd w:fill="auto" w:val="clear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335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>3. DESCRIÇÃO DA SOLUÇÃO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3.1 </w:t>
      </w:r>
      <w:r>
        <w:rPr>
          <w:rFonts w:eastAsia="Arial" w:cs="Arial" w:ascii="Verdana" w:hAnsi="Verdana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2"/>
          <w:szCs w:val="22"/>
          <w:shd w:fill="auto" w:val="clear"/>
          <w:lang w:val="pt-BR" w:eastAsia="zh-CN" w:bidi="ar-SA"/>
        </w:rPr>
        <w:t>Após uma análise das opções disponíveis, foi possível identificar a solução mais vantajosa. A solução proposta para a aquisição de materiais de construção, tem como objetivo atender às necessidades da Prefeitura com maior agilidade, racionalização dos processos de aquisição, economia de escala e redução de custos e maior controle e previsibilidade de gastos.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Arial" w:cs="Arial"/>
          <w:b w:val="false"/>
          <w:bCs w:val="false"/>
          <w:color w:val="auto"/>
          <w:kern w:val="0"/>
          <w:sz w:val="22"/>
          <w:szCs w:val="22"/>
          <w:highlight w:val="none"/>
          <w:shd w:fill="auto" w:val="clear"/>
          <w:lang w:val="pt-BR" w:eastAsia="zh-CN" w:bidi="ar-SA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>4. REQUISITOS DA CONTRATAÇÃO</w:t>
      </w:r>
    </w:p>
    <w:p>
      <w:pPr>
        <w:pStyle w:val="Normal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4.1</w:t>
      </w:r>
      <w:r>
        <w:rPr>
          <w:rFonts w:ascii="Verdana" w:hAnsi="Verdana"/>
          <w:b w:val="false"/>
          <w:bCs w:val="false"/>
          <w:sz w:val="22"/>
          <w:szCs w:val="22"/>
        </w:rPr>
        <w:t>. O produto deverá ser entregue nas mesmas marcas indicadas nas propostas de preços vencedoras do certame;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4.2. Os produtos a serem entregues deverão ser de ótima qualidade, atender às especificações técnicas exigidas e obedecer rigorosamente: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a) às normas e especificações constantes neste Termo de Referência;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b) às normas da ANVISA e INMETRO, conforme especificação e necessidade de cada produto;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c) às normas internacionais consagradas, na falta das normas da ABNT;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d) às prescrições e recomendações dos fabricantes; </w:t>
      </w:r>
    </w:p>
    <w:p>
      <w:pPr>
        <w:pStyle w:val="Default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 xml:space="preserve">4.3. O produto entregue deverá ser novo, não se admitindo em hipótese alguma o fornecimento de alternativo, estando adequadamente embalado de forma a preservar suas características originais; 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 Constatadas irregularidades nos entrega, a Prefeitura Municipal de São Gabriel da Palha poderá: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4.4.1. Se disser respeito à especificação, rejeitá-lo no todo ou em parte, determinando sua substituição ou cancelando em parte ou totalmente a ordem de fornecimento, sem prejuízo das penalidades cabíveis;</w:t>
      </w:r>
    </w:p>
    <w:p>
      <w:pPr>
        <w:pStyle w:val="Normal"/>
        <w:tabs>
          <w:tab w:val="clear" w:pos="708"/>
          <w:tab w:val="left" w:pos="426" w:leader="none"/>
        </w:tabs>
        <w:suppressAutoHyphens w:val="false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</w:rPr>
        <w:t>4.4.2. Se disser respeito à diferença de quantidade ou de partes, determinar sua complementação ou can</w:t>
      </w:r>
      <w:r>
        <w:rPr>
          <w:rFonts w:ascii="Verdana" w:hAnsi="Verdana"/>
          <w:sz w:val="22"/>
          <w:szCs w:val="22"/>
        </w:rPr>
        <w:t>celar em parte ou totalmente a ordem de fornecimento, sem prejuízo das penalidades cabíveis;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b w:val="false"/>
          <w:bCs w:val="false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sz w:val="22"/>
          <w:szCs w:val="22"/>
          <w:shd w:fill="FFFFFF" w:val="clear"/>
        </w:rPr>
        <w:t>4.5. Não serão aceitos materiais fora das especificações constantes neste Termo de Referência.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/>
          <w:bCs/>
          <w:sz w:val="22"/>
          <w:szCs w:val="22"/>
          <w:shd w:fill="FFFFFF" w:val="clear"/>
        </w:rPr>
        <w:t>4.6. OS MATERIAIS DEVERÃO SER ENTREGUES NO PARQUE DE ARTEFATOS E OFICINA MECÂNICA.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sz w:val="22"/>
          <w:szCs w:val="22"/>
          <w:shd w:fill="auto" w:val="clear"/>
        </w:rPr>
        <w:t>4.7. A contratação deverá obedecer, no que couber, ao disposto na Lei n.º 14.133/</w:t>
      </w:r>
      <w:r>
        <w:rPr>
          <w:rFonts w:ascii="Verdana" w:hAnsi="Verdana"/>
          <w:sz w:val="22"/>
          <w:szCs w:val="22"/>
          <w:shd w:fill="auto" w:val="clear"/>
        </w:rPr>
        <w:t>2021 e suas alterações e demais legislações correlatas.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shd w:fill="auto" w:val="clear"/>
        </w:rPr>
        <w:t xml:space="preserve">5. MODELO DE EXECUÇÃO CONTRATUAL 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5.1. O prazo de vigência da ata de registro de preços será de 12 (doze) meses </w:t>
      </w:r>
      <w:r>
        <w:rPr>
          <w:rFonts w:cs="Arial" w:ascii="Verdana" w:hAnsi="Verdana"/>
          <w:bCs/>
          <w:iCs/>
          <w:color w:val="000000"/>
          <w:sz w:val="22"/>
          <w:szCs w:val="22"/>
          <w:shd w:fill="auto" w:val="clear"/>
        </w:rPr>
        <w:t xml:space="preserve">a partir da publicação </w:t>
      </w:r>
      <w:r>
        <w:rPr>
          <w:rFonts w:eastAsia="Times New Roman" w:cs="Arial" w:ascii="Verdana" w:hAnsi="Verdana"/>
          <w:bCs/>
          <w:iCs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da Ata de Registro de Preços. A entrega será 15 dias 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apos 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shd w:fill="auto" w:val="clear"/>
          <w:lang w:val="pt-BR" w:eastAsia="pt-BR" w:bidi="ar-SA"/>
        </w:rPr>
        <w:t>autorização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 de compras/execução emitida pelo Departamento de Compras e Contratos.</w:t>
      </w:r>
    </w:p>
    <w:p>
      <w:pPr>
        <w:pStyle w:val="Normal"/>
        <w:widowControl/>
        <w:numPr>
          <w:ilvl w:val="0"/>
          <w:numId w:val="0"/>
        </w:numPr>
        <w:tabs>
          <w:tab w:val="clear" w:pos="708"/>
          <w:tab w:val="left" w:pos="508" w:leader="none"/>
        </w:tabs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5.2.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shd w:fill="auto" w:val="clear"/>
        </w:rPr>
        <w:t xml:space="preserve">LOCAL DE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ENTREGA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Rua: Daniel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 xml:space="preserve"> Comboni </w:t>
      </w:r>
      <w:r>
        <w:rPr>
          <w:rFonts w:cs="Arial" w:ascii="Verdana" w:hAnsi="Verdana"/>
          <w:b w:val="false"/>
          <w:bCs w:val="false"/>
          <w:sz w:val="22"/>
          <w:szCs w:val="22"/>
        </w:rPr>
        <w:t>– Bairro Vila Comboni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Departamento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Parque de Artefatos e Oficina Mecânica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São Gabriel da Palha – ES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CEP 29.7800-000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5.3. CONTATO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Tel: (27) 99982-4121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Email: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obras</w:t>
      </w:r>
      <w:r>
        <w:rPr>
          <w:rFonts w:cs="Arial" w:ascii="Verdana" w:hAnsi="Verdana"/>
          <w:b w:val="false"/>
          <w:bCs w:val="false"/>
          <w:sz w:val="22"/>
          <w:szCs w:val="22"/>
        </w:rPr>
        <w:t>@saogabriel.es.gov.br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 xml:space="preserve">Responsável: Secretaria Municipal de </w:t>
      </w:r>
      <w:r>
        <w:rPr>
          <w:rFonts w:eastAsia="Times New Roman" w:cs="Arial" w:ascii="Verdana" w:hAnsi="Verdana"/>
          <w:b w:val="false"/>
          <w:bCs w:val="false"/>
          <w:color w:val="auto"/>
          <w:kern w:val="0"/>
          <w:sz w:val="22"/>
          <w:szCs w:val="22"/>
          <w:lang w:val="pt-BR" w:eastAsia="zh-CN" w:bidi="ar-SA"/>
        </w:rPr>
        <w:t>Obras e Desenvolvimento Urbano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5.4. A ata de registro de preços deverá ser executada fielmente pelas partes, de acordo com as cláusulas avençadas e as normas da Lei nº 14.133, de 2021, e cada parte responderá pelas consequências de sua inexecução total ou parcial.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5.5. As comunicações entre o órgão ou entidade e a contratada devem ser realizadas por escrito sempre que o ato exigir tal formalidade, admitindo-se o uso de mensagem eletrônica para esse fim.</w:t>
      </w:r>
    </w:p>
    <w:p>
      <w:pPr>
        <w:pStyle w:val="Normal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5.6. O órgão ou entidade poderá convocar representante da empresa para adoção de providências que devam ser cumpridas de imediato.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5.7.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A conferência/fiscalização deverá ser acompanhada por um servidor </w:t>
      </w:r>
      <w:r>
        <w:rPr>
          <w:rFonts w:eastAsia="Times New Roman" w:cs="Times New Roman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da secretaria requisitante</w:t>
      </w:r>
      <w:r>
        <w:rPr>
          <w:rFonts w:eastAsia="Times New Roman" w:cs="Arial" w:ascii="Verdana" w:hAnsi="Verdana"/>
          <w:i w:val="false"/>
          <w:iCs w:val="false"/>
          <w:color w:val="000000"/>
          <w:kern w:val="0"/>
          <w:sz w:val="22"/>
          <w:szCs w:val="22"/>
          <w:shd w:fill="auto" w:val="clear"/>
          <w:lang w:val="pt-BR" w:eastAsia="pt-BR" w:bidi="ar-SA"/>
        </w:rPr>
        <w:t>, a fim de zelar pela qualidade e quantidade dos materiais entregues.</w:t>
      </w:r>
    </w:p>
    <w:p>
      <w:pPr>
        <w:pStyle w:val="ListParagraph"/>
        <w:tabs>
          <w:tab w:val="clear" w:pos="708"/>
          <w:tab w:val="left" w:pos="508" w:leader="none"/>
        </w:tabs>
        <w:spacing w:lineRule="auto" w:line="24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ivel1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color w:val="000000"/>
          <w:sz w:val="22"/>
          <w:szCs w:val="22"/>
        </w:rPr>
        <w:t>6. MODELO DE GESTÃO DO CONTRATO/ATA DE REGISTRO DE PREÇOS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ab/>
        <w:t>6.1. ROTINAS DE FISCALIZAÇÃO CONTRATUAL</w:t>
      </w:r>
    </w:p>
    <w:p>
      <w:pPr>
        <w:pStyle w:val="Nivel2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6.1.1. </w:t>
      </w:r>
      <w:r>
        <w:rPr>
          <w:rFonts w:cs="Times New Roman" w:ascii="Verdana" w:hAnsi="Verdana"/>
          <w:b w:val="false"/>
          <w:bCs w:val="false"/>
          <w:color w:val="000000"/>
          <w:sz w:val="22"/>
          <w:szCs w:val="22"/>
        </w:rPr>
        <w:t>A contratação será formalizada com a assinatura de Ata de Registro de preços.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6.1.2. A entrega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</w:rPr>
        <w:t>dos itens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 deverá ser acompanhada por um servidor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</w:rPr>
        <w:t>da secretaria requisitante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t>, a fim de zelar pela qualidade e quantidade dos itens a serem adquiridos.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6.1.4. Somente o contratado será responsável pelos encargos trabalhistas, previdenciários, fiscais e comerciais resultantes da entrega dos materiais.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>
      <w:pPr>
        <w:pStyle w:val="Nivel2"/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b w:val="false"/>
          <w:bCs w:val="false"/>
          <w:color w:val="000000"/>
          <w:sz w:val="22"/>
          <w:szCs w:val="22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>
      <w:pPr>
        <w:pStyle w:val="ListParagraph"/>
        <w:spacing w:lineRule="auto" w:line="240"/>
        <w:ind w:hanging="0" w:left="-22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  <w:shd w:fill="auto" w:val="clear"/>
        </w:rPr>
        <w:t>7. OBRIGAÇÕES DA CONTRATANTE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Receber os objetos no prazo e condições estabelecidas neste Termo de Referência e seus anexos.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7.3. Comunicar à Contratada, por escrito, sobre imperfeições, falhas ou irregularidades verificadas no objeto fornecido, para que seja substituído, reparado ou corrigido.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7.4. Acompanhar e fiscalizar o cumprimento das obrigações da Contratada, através de comissão/servidor especialmente designado.</w:t>
      </w:r>
    </w:p>
    <w:p>
      <w:pPr>
        <w:pStyle w:val="Normal"/>
        <w:spacing w:lineRule="auto" w:line="360" w:before="57" w:after="57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7.5. Efetuar o pagamento à Contratada no valor correspondente ao fornecimento dos objetos, no prazo e forma estabelecidos neste TR e seus anexos.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eastAsia="Times New Roman"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eastAsia="Times New Roman"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 w:before="0" w:after="0"/>
        <w:ind w:hanging="0" w:left="0" w:right="0"/>
        <w:jc w:val="both"/>
        <w:rPr>
          <w:rFonts w:eastAsia="Times New Roman" w:cs="Arial"/>
          <w:b w:val="false"/>
          <w:bCs w:val="false"/>
          <w:i w:val="false"/>
          <w:i w:val="false"/>
          <w:iCs w:val="false"/>
          <w:color w:val="000000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tabs>
          <w:tab w:val="clear" w:pos="708"/>
          <w:tab w:val="left" w:pos="508" w:leader="none"/>
        </w:tabs>
        <w:spacing w:lineRule="auto" w:line="240" w:before="0" w:after="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  <w:shd w:fill="auto" w:val="clear"/>
        </w:rPr>
        <w:t>8. OBRIGAÇÕES DA CONTRATADA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8.2. 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8.3. Responsabilizar-se pelos vícios e danos decorrentes do objeto, de acordo com os artigos 12, 13 e 17 a 27, do Código de Defesa do Consumidor (Lei nº 8.078, de 1990).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8.4. Substituir, reparar ou corrigir, às suas expensas, no prazo fixado neste Termo de Referência, o objeto com avarias ou defeitos.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8.5.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Comunicar à Contratante, no prazo máximo de 12 (doze) horas que antecede a data da entrega/execução, os motivos que impossibilitem o cumprimento do prazo previsto, com a devida comprovação.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8.6.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Manter, durante toda a execução d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a ata de registro de preços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, em compatibilidade com as obrigações assumidas, todas as condições de habilitação e qualificação exigidas na licitação.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8.7.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Indicar preposto para representá-la durante a execução Da ata de registro de preços.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8.8.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A CONTRATADA será responsável pela observância das leis, decretos, regulamentos, portarias e normas federais, estaduais e municipais direta e indiretamente aplicáveis ao objeto do contrato.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8.9.Durante a execução da ata de registro de preços, a CONTRATADA deverá: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br/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8.9.1.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Atender prontamente às solicitações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das Secretarias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na entrega dos materiais, nas quantidades e especificações deste termo de referência.</w:t>
      </w:r>
    </w:p>
    <w:p>
      <w:pPr>
        <w:pStyle w:val="Normal"/>
        <w:tabs>
          <w:tab w:val="clear" w:pos="708"/>
          <w:tab w:val="left" w:pos="0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8.9.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2.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 xml:space="preserve"> 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  <w:shd w:fill="auto" w:val="clear"/>
        </w:rPr>
        <w:t>A nota fiscal deverá ser acompanhada pelas Certidões de Regularidades Fiscais.</w:t>
      </w:r>
      <w:bookmarkStart w:id="0" w:name="art1222"/>
      <w:bookmarkStart w:id="1" w:name="art122%252525252525252525252525252525252"/>
      <w:bookmarkStart w:id="2" w:name="art122%252525252525252525252525252525251"/>
      <w:bookmarkStart w:id="3" w:name="art122%252525252525252525252525252525253"/>
      <w:bookmarkStart w:id="4" w:name="_GoBack2"/>
      <w:bookmarkStart w:id="5" w:name="art121"/>
      <w:bookmarkStart w:id="6" w:name="art1232"/>
      <w:bookmarkStart w:id="7" w:name="art12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i w:val="false"/>
          <w:iCs w:val="false"/>
          <w:color w:val="000000"/>
          <w:sz w:val="22"/>
          <w:szCs w:val="22"/>
        </w:rPr>
        <w:t>9. DO CONTROLE E FISCALIZAÇÃO DA EXECUÇÃO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9.1. Será designado representante para acompanhar e fiscalizar a entrega dos materiais, anotando em registro próprio todas as ocorrências relacionadas com a execução e determinando o que for necessário à regularização de falhas ou defeitos observados.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9.3. O representante da </w:t>
      </w:r>
      <w:r>
        <w:rPr>
          <w:rFonts w:eastAsia="Times New Roman"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>secretaria requisitante</w:t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 anotará em registro próprio todas as ocorrências relacionadas com a execução da ata de registro de preços, indicando dia, mês e ano, bem como o nome dos funcionários eventualmente envolvidos, determinando o que</w:t>
      </w:r>
      <w:r>
        <w:rPr>
          <w:rFonts w:ascii="Verdana" w:hAnsi="Verdana"/>
          <w:b w:val="false"/>
          <w:bCs w:val="false"/>
          <w:color w:val="000000"/>
          <w:sz w:val="22"/>
          <w:szCs w:val="22"/>
        </w:rPr>
        <w:br/>
      </w:r>
      <w:r>
        <w:rPr>
          <w:rFonts w:cs="Arial" w:ascii="Verdana" w:hAnsi="Verdana"/>
          <w:b w:val="false"/>
          <w:bCs w:val="false"/>
          <w:i w:val="false"/>
          <w:iCs w:val="false"/>
          <w:color w:val="000000"/>
          <w:sz w:val="22"/>
          <w:szCs w:val="22"/>
        </w:rPr>
        <w:t xml:space="preserve">for necessário à regularização das falhas ou </w:t>
      </w:r>
      <w:r>
        <w:rPr>
          <w:rFonts w:ascii="Verdana" w:hAnsi="Verdana"/>
          <w:color w:val="000000"/>
          <w:sz w:val="22"/>
          <w:szCs w:val="22"/>
        </w:rPr>
        <w:t>defeitos observados e encaminhando os apontamentos à autoridade competente para as providências cabíveis.</w:t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>10. CRITÉRIOS DE PAGAMENTO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10.1. Recebida a Nota Fiscal ou documento de cobrança equivalente, correrá o prazo de </w:t>
      </w:r>
      <w:r>
        <w:rPr>
          <w:rFonts w:eastAsia="Times New Roman" w:cs="Times New Roman" w:ascii="Verdana" w:hAnsi="Verdana"/>
          <w:b w:val="false"/>
          <w:bCs w:val="false"/>
          <w:color w:val="000000"/>
          <w:sz w:val="22"/>
          <w:szCs w:val="22"/>
          <w:lang w:eastAsia="en-US"/>
        </w:rPr>
        <w:t>(30) trinta</w:t>
      </w: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 dias úteis para fins de liquidação, na forma desta seção, prorrogáveis por igual período.</w:t>
      </w:r>
    </w:p>
    <w:p>
      <w:pPr>
        <w:pStyle w:val="Normal"/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r>
        <w:fldChar w:fldCharType="begin"/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instrText xml:space="preserve"> HYPERLINK "http://www.planalto.gov.br/ccivil_03/_ato2019-2022/2021/lei/L14133.htm" \l "art75"</w:instrText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separate"/>
      </w:r>
      <w:r>
        <w:rPr>
          <w:rStyle w:val="Style8"/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inciso II do art. 75 da Lei nº 14.133, de 2021</w:t>
      </w:r>
      <w:r>
        <w:rPr>
          <w:rStyle w:val="Style8"/>
          <w:sz w:val="22"/>
          <w:u w:val="none"/>
          <w:b w:val="false"/>
          <w:szCs w:val="22"/>
          <w:bCs w:val="false"/>
          <w:rFonts w:ascii="Verdana" w:hAnsi="Verdana"/>
          <w:color w:val="000000"/>
        </w:rPr>
        <w:fldChar w:fldCharType="end"/>
      </w:r>
      <w:r>
        <w:rPr>
          <w:rFonts w:ascii="Verdana" w:hAnsi="Verdana"/>
          <w:b w:val="false"/>
          <w:bCs w:val="false"/>
          <w:color w:val="000000"/>
          <w:sz w:val="22"/>
          <w:szCs w:val="22"/>
          <w:u w:val="none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- O prazo de validade;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A data da emissão;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Os dados do contrato e do órgão contratante;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 período respectivo de execução do contrato;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 xml:space="preserve">- O valor a pagar; e 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43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- Eventual destaque do valor de retenções tributárias cabíveis.</w:t>
      </w:r>
    </w:p>
    <w:p>
      <w:pPr>
        <w:pStyle w:val="Normal"/>
        <w:tabs>
          <w:tab w:val="clear" w:pos="708"/>
          <w:tab w:val="left" w:pos="563" w:leader="none"/>
        </w:tabs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>
      <w:pPr>
        <w:pStyle w:val="Normal"/>
        <w:tabs>
          <w:tab w:val="clear" w:pos="708"/>
          <w:tab w:val="left" w:pos="109" w:leader="none"/>
        </w:tabs>
        <w:spacing w:lineRule="auto" w:line="360"/>
        <w:ind w:hanging="0" w:left="-22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10.5. A</w:t>
      </w: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 nota fiscal ou instrumento de cobrança equivalente deverá ser obrigatoriamente acompanhado da comprovação da regularidade fiscal</w:t>
      </w:r>
      <w:r>
        <w:rPr>
          <w:rStyle w:val="Hyperlink"/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>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10.6. O pagamento será efetuado no prazo de até 30 (trinta) dias úteis contados da finalização da liquidação da despesa.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10.7. O pagamento será realizado por meio de ordem bancária, para crédito em banco, agência e conta corrente indicados pelo contratado.</w:t>
      </w:r>
    </w:p>
    <w:p>
      <w:pPr>
        <w:pStyle w:val="Normal"/>
        <w:spacing w:lineRule="auto" w:line="360"/>
        <w:ind w:hanging="0" w:left="-22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10.8. Será considerada data do pagamento o dia em que constar como emitida a ordem bancária para pagamento.</w:t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10.9. Quando do pagamento, será efetuada a retenção tributária prevista na legislação aplicável.</w:t>
      </w:r>
    </w:p>
    <w:p>
      <w:pPr>
        <w:pStyle w:val="Normal"/>
        <w:spacing w:lineRule="auto" w:line="360"/>
        <w:ind w:hanging="0" w:left="-79" w:right="0"/>
        <w:jc w:val="both"/>
        <w:rPr/>
      </w:pPr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10.10. O contratado regularmente optante pelo Simples Nacional, nos termos da </w:t>
      </w:r>
      <w:hyperlink r:id="rId2">
        <w:r>
          <w:rPr>
            <w:rStyle w:val="Style8"/>
            <w:rFonts w:ascii="Verdana" w:hAnsi="Verdana"/>
            <w:b w:val="false"/>
            <w:bCs w:val="false"/>
            <w:color w:val="000000"/>
            <w:sz w:val="22"/>
            <w:szCs w:val="22"/>
            <w:u w:val="none"/>
            <w:lang w:eastAsia="en-US"/>
          </w:rPr>
          <w:t>Lei Complementar nº 123, de 2006</w:t>
        </w:r>
      </w:hyperlink>
      <w:r>
        <w:rPr>
          <w:rFonts w:ascii="Verdana" w:hAnsi="Verdana"/>
          <w:b w:val="false"/>
          <w:bCs w:val="false"/>
          <w:color w:val="000000"/>
          <w:sz w:val="22"/>
          <w:szCs w:val="22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color w:val="000000"/>
          <w:sz w:val="22"/>
          <w:szCs w:val="22"/>
        </w:rPr>
        <w:t>10.11.  Após o prazo acima referenciado, será paga multa financeira nos seguintes termos: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color w:val="000000"/>
          <w:sz w:val="22"/>
          <w:szCs w:val="22"/>
        </w:rPr>
        <w:t xml:space="preserve">VM = VF </w:t>
      </w:r>
      <w:r>
        <w:rPr>
          <w:rFonts w:cs="Verdana" w:ascii="Verdana" w:hAnsi="Verdana"/>
          <w:color w:val="000000"/>
          <w:sz w:val="22"/>
          <w:szCs w:val="22"/>
          <w:vertAlign w:val="subscript"/>
        </w:rPr>
        <w:t>*</w:t>
      </w:r>
      <w:r>
        <w:rPr>
          <w:rFonts w:cs="Verdana" w:ascii="Verdana" w:hAnsi="Verdana"/>
          <w:color w:val="000000"/>
          <w:sz w:val="22"/>
          <w:szCs w:val="22"/>
        </w:rPr>
        <w:t xml:space="preserve"> </w:t>
      </w:r>
      <w:r>
        <w:rPr>
          <w:rFonts w:cs="Verdana" w:ascii="Verdana" w:hAnsi="Verdana"/>
          <w:color w:val="000000"/>
          <w:sz w:val="22"/>
          <w:szCs w:val="22"/>
          <w:u w:val="single"/>
        </w:rPr>
        <w:t>0,33</w:t>
      </w:r>
      <w:r>
        <w:rPr>
          <w:rFonts w:cs="Verdana" w:ascii="Verdana" w:hAnsi="Verdana"/>
          <w:color w:val="000000"/>
          <w:sz w:val="22"/>
          <w:szCs w:val="22"/>
        </w:rPr>
        <w:t xml:space="preserve"> </w:t>
      </w:r>
      <w:r>
        <w:rPr>
          <w:rFonts w:cs="Verdana" w:ascii="Verdana" w:hAnsi="Verdana"/>
          <w:color w:val="000000"/>
          <w:sz w:val="22"/>
          <w:szCs w:val="22"/>
          <w:vertAlign w:val="subscript"/>
        </w:rPr>
        <w:t>*</w:t>
      </w:r>
      <w:r>
        <w:rPr>
          <w:rFonts w:cs="Verdana" w:ascii="Verdana" w:hAnsi="Verdana"/>
          <w:color w:val="000000"/>
          <w:sz w:val="22"/>
          <w:szCs w:val="22"/>
        </w:rPr>
        <w:t xml:space="preserve"> ND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jc w:val="center"/>
        <w:rPr>
          <w:rFonts w:ascii="Verdana" w:hAnsi="Verdana"/>
          <w:sz w:val="22"/>
          <w:szCs w:val="22"/>
        </w:rPr>
      </w:pPr>
      <w:r>
        <w:rPr>
          <w:rFonts w:eastAsia="Verdana" w:cs="Verdana" w:ascii="Verdana" w:hAnsi="Verdana"/>
          <w:color w:val="000000"/>
          <w:sz w:val="22"/>
          <w:szCs w:val="22"/>
        </w:rPr>
        <w:t xml:space="preserve">        </w:t>
      </w:r>
      <w:r>
        <w:rPr>
          <w:rFonts w:cs="Verdana" w:ascii="Verdana" w:hAnsi="Verdana"/>
          <w:color w:val="000000"/>
          <w:sz w:val="22"/>
          <w:szCs w:val="22"/>
        </w:rPr>
        <w:t>100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Onde: 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VM = Valor da Multa Financeira; </w:t>
      </w:r>
    </w:p>
    <w:p>
      <w:pPr>
        <w:pStyle w:val="Normal"/>
        <w:suppressAutoHyphens w:val="false"/>
        <w:spacing w:lineRule="auto" w:line="360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  <w:t xml:space="preserve">VF = Valor da Nota Fiscal;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color w:val="000000"/>
          <w:sz w:val="22"/>
          <w:szCs w:val="22"/>
        </w:rPr>
        <w:t>ND = Número de dias em atraso.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 xml:space="preserve">10.12..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A NOTA FISCAL ELETRÔNICA deverá conter o mesmo CNPJ e razão social apresentados quando na proposta, assim como, o número da contratação, o (s) objeto (s), os valores unitários e totais.</w:t>
      </w: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>10.13.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sz w:val="22"/>
          <w:szCs w:val="22"/>
        </w:rPr>
        <w:t xml:space="preserve">10.14.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O CONTRATANTE poderá deduzir do pagamento importâncias que a qualquer título lhe forem devidos pela empresa CONTRATADA, em decorrência de descumprimento de suas obrigações.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bidi="ar-SA"/>
        </w:rPr>
        <w:t xml:space="preserve">10.15.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lang w:eastAsia="en-US"/>
        </w:rPr>
        <w:t xml:space="preserve">Para a efetivação do pagamento, a CONTRATADA deverá manter as mesmas 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  <w:lang w:eastAsia="pt-BR"/>
        </w:rPr>
        <w:t>condições relativas à proposta de preço e a habilitação;</w:t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cs="Arial"/>
          <w:b w:val="false"/>
          <w:bCs w:val="false"/>
          <w:color w:val="000000"/>
          <w:lang w:eastAsia="pt-BR"/>
        </w:rPr>
      </w:pPr>
      <w:r>
        <w:rPr>
          <w:rFonts w:ascii="Verdana" w:hAnsi="Verdana"/>
          <w:sz w:val="22"/>
          <w:szCs w:val="22"/>
        </w:rPr>
      </w:r>
    </w:p>
    <w:p>
      <w:pPr>
        <w:pStyle w:val="PargrafodaLista"/>
        <w:tabs>
          <w:tab w:val="clear" w:pos="708"/>
          <w:tab w:val="left" w:pos="518" w:leader="none"/>
        </w:tabs>
        <w:spacing w:lineRule="auto" w:line="360"/>
        <w:ind w:hanging="0" w:left="0" w:right="0"/>
        <w:rPr>
          <w:rFonts w:cs="Arial"/>
          <w:b w:val="false"/>
          <w:bCs w:val="false"/>
          <w:color w:val="000000"/>
          <w:lang w:eastAsia="pt-BR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/>
          <w:bCs/>
          <w:iCs/>
          <w:color w:val="000000"/>
          <w:sz w:val="22"/>
          <w:szCs w:val="22"/>
        </w:rPr>
        <w:t>11</w:t>
      </w:r>
      <w:r>
        <w:rPr>
          <w:rFonts w:ascii="Verdana" w:hAnsi="Verdana"/>
          <w:b/>
          <w:bCs/>
          <w:iCs/>
          <w:color w:val="000000"/>
          <w:sz w:val="22"/>
          <w:szCs w:val="22"/>
        </w:rPr>
        <w:t>. DAS SANÇÕES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 Comete infração administrativa o fornecedor que cometer quaisquer das infrações previstas no art. 155 da Lei nº 14.133, de 2021, quais sejam: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.1.1. Dar causa à inexecução parcial do contrato.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.1.2. Dar causa à inexecução parcial que cause grave dano à Administração, ao funcionamento dos serviços públicos ou ao interesse coletivo.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.1.3. Dar causa à inexecução total;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.1.4. Deixar de entregar a documentação exigida para o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.1.5. Não manter a proposta, salvo em decorrência de fato superveniente devidamente justificado.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 xml:space="preserve">.1.6. Não celebrar o contrato ou não entregar a documentação exigida para a contratação, quando convocado dentro do prazo de validade de sua proposta. 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.1.7. Ensejar o retardamento da execução ou da entrega do objeto sem motivo justificado,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.1.8. Apresentar declaração ou documentação falsa exigida para o certame ou prestar declaração falsa durante a licitação ou 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11.1.9. Fraudar a licitação ou praticar ato fraudulento na execução do objeto.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.1.10. Comportar-se de modo inidôneo ou cometer fraude de qualquer natureza.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.1.10.1. Considera-se comportamento inidôneo, entre outros, a declaração falsa quanto</w:t>
      </w:r>
      <w:r>
        <w:rPr>
          <w:rFonts w:ascii="Verdana" w:hAnsi="Verdana"/>
          <w:iCs/>
          <w:color w:val="000000"/>
          <w:sz w:val="22"/>
          <w:szCs w:val="22"/>
        </w:rPr>
        <w:t xml:space="preserve"> às condições de participação, quanto ao enquadramento como ME/EPP ou o conluio entre os fornecedores, em qualquer momento da licitação, mesmo após o encerramento da fase de lances.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.1.11. Praticar atos ilícitos com vistas a frustrar os objetivos deste certame.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.1.12. Praticar ato lesivo previsto no art. 5º da Lei nº 12.846, de 1º de agosto de 2013.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11.1.13.</w:t>
      </w:r>
      <w:r>
        <w:rPr>
          <w:rFonts w:ascii="Verdana" w:hAnsi="Verdana"/>
          <w:iCs/>
          <w:color w:val="000000"/>
          <w:sz w:val="22"/>
          <w:szCs w:val="22"/>
        </w:rPr>
        <w:t xml:space="preserve"> O fornecedor que cometer qualquer das infrações discriminadas nos subitens anteriores ficará sujeito, sem prejuízo da responsabilidade civil e criminal, às seguintes sanções: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a) Advertência pela falta do subitem 11.1.1 deste Termo de Referência, quando não se justificar a imposição de penalidade mais grave.</w:t>
      </w:r>
    </w:p>
    <w:p>
      <w:pPr>
        <w:pStyle w:val="Normal"/>
        <w:spacing w:lineRule="auto" w:line="36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</w:t>
      </w:r>
      <w:r>
        <w:rPr>
          <w:rFonts w:ascii="Verdana" w:hAnsi="Verdana"/>
          <w:iCs/>
          <w:color w:val="000000"/>
          <w:sz w:val="22"/>
          <w:szCs w:val="22"/>
        </w:rPr>
        <w:t xml:space="preserve">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>
        <w:rPr>
          <w:rFonts w:eastAsia="Times New Roman" w:cs="Times New Roman" w:ascii="Verdana" w:hAnsi="Verdana"/>
          <w:iCs/>
          <w:color w:val="000000"/>
          <w:sz w:val="22"/>
          <w:szCs w:val="22"/>
        </w:rPr>
        <w:t>11</w:t>
      </w:r>
      <w:r>
        <w:rPr>
          <w:rFonts w:ascii="Verdana" w:hAnsi="Verdana"/>
          <w:iCs/>
          <w:color w:val="000000"/>
          <w:sz w:val="22"/>
          <w:szCs w:val="22"/>
        </w:rPr>
        <w:t xml:space="preserve">.1.7 e 20% (vinte por cento), se cometidas infrações previstas nos itens 11.1.8 a 11.1.12; </w:t>
      </w:r>
    </w:p>
    <w:p>
      <w:pPr>
        <w:pStyle w:val="Normal"/>
        <w:spacing w:lineRule="auto" w:line="36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        </w:t>
      </w:r>
      <w:r>
        <w:rPr>
          <w:rFonts w:ascii="Verdana" w:hAnsi="Verdana"/>
          <w:iCs/>
          <w:color w:val="000000"/>
          <w:sz w:val="22"/>
          <w:szCs w:val="22"/>
        </w:rPr>
        <w:t>b.1) O valor da multa poderá ser descontado das faturas devidas à CONTRATADA;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            </w:t>
      </w:r>
      <w:r>
        <w:rPr>
          <w:rFonts w:ascii="Verdana" w:hAnsi="Verdana"/>
          <w:iCs/>
          <w:color w:val="000000"/>
          <w:sz w:val="22"/>
          <w:szCs w:val="22"/>
        </w:rPr>
        <w:t xml:space="preserve">b.2) A multa pode ser aplicada isoladamente ou juntamente com as penalidades definidas nos itens “c” e “d” abaixo: 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iCs/>
          <w:color w:val="000000"/>
          <w:sz w:val="22"/>
          <w:szCs w:val="22"/>
        </w:rPr>
        <w:t xml:space="preserve">         </w:t>
      </w:r>
      <w:r>
        <w:rPr>
          <w:rFonts w:ascii="Verdana" w:hAnsi="Verdana"/>
          <w:iCs/>
          <w:color w:val="000000"/>
          <w:sz w:val="22"/>
          <w:szCs w:val="22"/>
        </w:rPr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 Na aplicação das sanções serão considerados: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.3.1. A natureza e a gravidade da infração cometida.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11.3.2. As peculiaridades do caso concreto.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11.3.3. As circunstâncias agravantes ou atenuantes.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11.3.4. Os danos que dela provierem para a Administração Pública.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Times New Roman" w:ascii="Verdana" w:hAnsi="Verdana"/>
          <w:b w:val="false"/>
          <w:bCs w:val="false"/>
          <w:iCs/>
          <w:color w:val="000000"/>
          <w:sz w:val="22"/>
          <w:szCs w:val="22"/>
        </w:rPr>
        <w:t>11</w:t>
      </w: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.3.5.</w:t>
      </w:r>
      <w:r>
        <w:rPr>
          <w:rFonts w:ascii="Verdana" w:hAnsi="Verdana"/>
          <w:iCs/>
          <w:color w:val="000000"/>
          <w:sz w:val="22"/>
          <w:szCs w:val="22"/>
        </w:rPr>
        <w:t xml:space="preserve"> A implantação ou o aperfeiçoamento de programa de integridade, conforme normas e orientações dos órgãos de controle.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>
      <w:pPr>
        <w:pStyle w:val="Normal"/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 w:val="false"/>
          <w:bCs w:val="false"/>
          <w:iCs/>
          <w:color w:val="000000"/>
          <w:sz w:val="22"/>
          <w:szCs w:val="22"/>
          <w:lang w:eastAsia="en-US"/>
        </w:rPr>
        <w:t xml:space="preserve">11.5. </w:t>
      </w:r>
      <w:r>
        <w:rPr>
          <w:rFonts w:ascii="Verdana" w:hAnsi="Verdana"/>
          <w:iCs/>
          <w:color w:val="000000"/>
          <w:sz w:val="22"/>
          <w:szCs w:val="22"/>
          <w:lang w:eastAsia="en-US"/>
        </w:rPr>
        <w:t>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>
      <w:pPr>
        <w:pStyle w:val="Normal"/>
        <w:spacing w:lineRule="auto" w:line="360"/>
        <w:ind w:hanging="0" w:left="0" w:right="0"/>
        <w:jc w:val="both"/>
        <w:rPr>
          <w:iCs/>
          <w:color w:val="000000"/>
          <w:lang w:eastAsia="en-US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iCs/>
          <w:color w:val="000000"/>
          <w:lang w:eastAsia="en-US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iCs/>
          <w:color w:val="000000"/>
          <w:lang w:eastAsia="en-US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ind w:hanging="0" w:left="0" w:right="0"/>
        <w:jc w:val="both"/>
        <w:rPr>
          <w:iCs/>
          <w:color w:val="000000"/>
          <w:lang w:eastAsia="en-US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Normal"/>
        <w:spacing w:lineRule="auto" w:line="36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  <w:lang w:eastAsia="en-US"/>
        </w:rPr>
        <w:t>12. DA HABILITAÇÃO</w:t>
      </w:r>
    </w:p>
    <w:p>
      <w:pPr>
        <w:pStyle w:val="Nivel01"/>
        <w:tabs>
          <w:tab w:val="left" w:pos="517" w:leader="none"/>
          <w:tab w:val="left" w:pos="567" w:leader="none"/>
          <w:tab w:val="left" w:pos="683" w:leader="none"/>
        </w:tabs>
        <w:spacing w:lineRule="auto" w:line="360" w:before="57" w:after="57"/>
        <w:ind w:hanging="0" w:left="-57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a) SICAF;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b) Cadastro Nacional de Empresas Inidôneas e Suspensas – CEIS, mantido pela Controladoria-Geral da União (</w:t>
      </w:r>
      <w:hyperlink r:id="rId3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www.portaldatransparencia.gov.br/ceis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c) Cadastro Nacional de Condenações Cíveis por Atos de Improbidade Administrativa, mantido pelo Conselho Nacional de Justiça (</w:t>
      </w:r>
      <w:hyperlink r:id="rId4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www.cnj.jus.br/improbidade_adm/consultar_requerido.php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d) Cadastro de Inidôneos e o Cadastro Integrado de Condenações por Ilícitos Administrativos – CADICON, mantidos pelo Tribunal de Contas da União – TCU;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e) Cadastro de empresas inid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5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</w:rPr>
          <w:t>https://www.tcees.tc.br/portal-da-transparencia/consultas/lista-de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 responsáveis/proibidos-de-contratar/).</w:t>
      </w:r>
    </w:p>
    <w:p>
      <w:pPr>
        <w:pStyle w:val="Normal"/>
        <w:spacing w:lineRule="auto" w:line="360" w:before="57" w:after="57"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6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  <w:lang w:eastAsia="ar-SA"/>
          </w:rPr>
          <w:t>https://certidoesapf.apps.tcu.gov.br/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);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12.1.2. </w:t>
      </w:r>
      <w:r>
        <w:rPr>
          <w:rFonts w:cs="Verdana" w:ascii="Verdana" w:hAnsi="Verdana"/>
          <w:color w:val="000000"/>
          <w:sz w:val="22"/>
          <w:szCs w:val="22"/>
        </w:rPr>
        <w:t>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12.1.2.2. A tentativa de burla será verificada por meio dos vínculos societários, linhas de fornecimento similares, dentre outros.</w:t>
      </w:r>
    </w:p>
    <w:p>
      <w:pPr>
        <w:pStyle w:val="ListParagraph"/>
        <w:tabs>
          <w:tab w:val="clear" w:pos="708"/>
          <w:tab w:val="left" w:pos="733" w:leader="none"/>
          <w:tab w:val="left" w:pos="900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12.1.2.3. O licitante será convocado para manifestação previamente à sua desclassificação.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12.1.3 .Constatada a existência de sanção, o Pregoeiro reputará o licitante inabilitado, por falta de condição de participação.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>
      <w:pPr>
        <w:pStyle w:val="ListParagraph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 xml:space="preserve">12.2 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Caso atendidas as condições de participação, a habilitação dos licitantes será verificada por meio do SICAF, nos documentos por ele abrangidos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ar-SA"/>
        </w:rPr>
        <w:t>12.2.1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12.2.3 O descumprimento do subitem acima implicará a inabilitação do licitante, exceto se a co</w:t>
      </w:r>
      <w:r>
        <w:rPr>
          <w:rFonts w:cs="Verdana" w:ascii="Verdana" w:hAnsi="Verdana"/>
          <w:color w:val="000000"/>
          <w:sz w:val="22"/>
          <w:szCs w:val="22"/>
        </w:rPr>
        <w:t>nsulta aos sítios eletrônicos oficiais emissores de certidões feita pelo Pregoeiro lograr êxito em encontrar a(s) certidão(ões) válida(s), conforme art. 43, §3º, do Decreto 10.024, de 2019.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12.5 Não serão aceitos documentos de habilitação com indicação de CNPJ/CPF diferentes, salvo aqueles legalmente permitidos.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57" w:after="57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360" w:before="0" w:after="0"/>
        <w:ind w:hanging="0" w:left="0" w:right="0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12.7 R</w:t>
      </w:r>
      <w:r>
        <w:rPr>
          <w:rFonts w:cs="Verdana" w:ascii="Verdana" w:hAnsi="Verdana"/>
          <w:color w:val="000000"/>
          <w:sz w:val="22"/>
          <w:szCs w:val="22"/>
        </w:rPr>
        <w:t>essalvado o disposto no item 5.3, os licitantes deverão encaminhar, nos termos deste Edital, a documentação relacionada nos itens a seguir, para fins de habilitação:</w:t>
      </w:r>
    </w:p>
    <w:p>
      <w:pPr>
        <w:pStyle w:val="PADRO"/>
        <w:widowControl/>
        <w:shd w:fill="FFFFFF"/>
        <w:tabs>
          <w:tab w:val="clear" w:pos="708"/>
          <w:tab w:val="left" w:pos="567" w:leader="none"/>
        </w:tabs>
        <w:spacing w:lineRule="auto" w:line="240" w:before="0" w:after="0"/>
        <w:ind w:hanging="0" w:left="0" w:right="0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bCs/>
          <w:color w:val="000000"/>
          <w:sz w:val="22"/>
          <w:szCs w:val="22"/>
        </w:rPr>
        <w:tab/>
        <w:t>12.8 Habilitação jurídica: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12.8.1 No caso de empresário individual: inscrição no Registro Público de Empresas Mercantis, a cargo da Junta Comercial da respectiva sede;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/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7">
        <w:r>
          <w:rPr>
            <w:rStyle w:val="Style8"/>
            <w:rFonts w:cs="Verdana" w:ascii="Verdana" w:hAnsi="Verdana"/>
            <w:b w:val="false"/>
            <w:bCs w:val="false"/>
            <w:color w:val="000000"/>
            <w:sz w:val="22"/>
            <w:szCs w:val="22"/>
            <w:u w:val="single"/>
          </w:rPr>
          <w:t>www.portaldoempreendedor.gov.br</w:t>
        </w:r>
      </w:hyperlink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12.8.4 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12.8.5 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 xml:space="preserve">12.8.6 No </w:t>
      </w:r>
      <w:r>
        <w:rPr>
          <w:rFonts w:cs="Verdana" w:ascii="Verdana" w:hAnsi="Verdana"/>
          <w:bCs/>
          <w:color w:val="000000"/>
          <w:sz w:val="22"/>
          <w:szCs w:val="22"/>
        </w:rPr>
        <w:t>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12.8.7 No caso de empresa ou sociedade estrangeira em funcionamento no País: decreto de autorização;</w:t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12.8.8</w:t>
      </w:r>
      <w:r>
        <w:rPr>
          <w:rFonts w:cs="Verdana" w:ascii="Verdana" w:hAnsi="Verdana"/>
          <w:bCs/>
          <w:color w:val="000000"/>
          <w:sz w:val="22"/>
          <w:szCs w:val="22"/>
        </w:rPr>
        <w:t xml:space="preserve"> Os documentos acima deverão estar acompanhados de todas as alterações ou da consolidação respectiva;</w:t>
      </w:r>
    </w:p>
    <w:p>
      <w:pPr>
        <w:pStyle w:val="ListParagraph"/>
        <w:spacing w:lineRule="auto" w:line="240"/>
        <w:ind w:hanging="0" w:left="0" w:right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bCs/>
          <w:color w:val="000000"/>
          <w:sz w:val="22"/>
          <w:szCs w:val="22"/>
        </w:rPr>
        <w:tab/>
        <w:t>12.9 Regularidade fiscal e trabalhista: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12.9.1 Prova de inscrição no Cadastro Nacional de Pessoas Jurídicas ou no Cadastro de Pessoas Físicas, conforme o caso;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12.9.2 Certidão de regularidade junto à fazenda pública Municipal,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12.9.3 Certidão de regularidade junto à fazenda pública Estadual, do domicílio do Licitante;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12.9.5 Certidão de regularidade junto ao FGTS;</w:t>
      </w:r>
    </w:p>
    <w:p>
      <w:pPr>
        <w:pStyle w:val="Normal"/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12.9.6 Certidão Negativa De Débitos Trabalhistas (CNDT) de acordo com a Lei 12440 de 7 de julho de 2011.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 w:bidi="pt-BR"/>
        </w:rPr>
        <w:t xml:space="preserve">12.9.7 Caso o vencedor do menor preço seja qualificado como microempresa ou empresa de pequeno porte </w:t>
      </w:r>
      <w:r>
        <w:rPr>
          <w:rFonts w:cs="Verdana" w:ascii="Verdana" w:hAnsi="Verdana"/>
          <w:b w:val="false"/>
          <w:bCs w:val="false"/>
          <w:color w:val="000000"/>
          <w:sz w:val="22"/>
          <w:szCs w:val="22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>
      <w:pPr>
        <w:pStyle w:val="Normal"/>
        <w:spacing w:lineRule="auto" w:line="240" w:before="0" w:after="0"/>
        <w:jc w:val="both"/>
        <w:rPr>
          <w:rFonts w:ascii="Verdana" w:hAnsi="Verdana" w:cs="Arial"/>
          <w:b/>
          <w:color w:val="000000"/>
          <w:sz w:val="22"/>
          <w:szCs w:val="22"/>
          <w:u w:val="single"/>
        </w:rPr>
      </w:pPr>
      <w:r>
        <w:rPr>
          <w:rFonts w:cs="Arial" w:ascii="Verdana" w:hAnsi="Verdana"/>
          <w:b/>
          <w:color w:val="000000"/>
          <w:sz w:val="22"/>
          <w:szCs w:val="22"/>
          <w:u w:val="single"/>
        </w:rPr>
      </w:r>
    </w:p>
    <w:p>
      <w:pPr>
        <w:pStyle w:val="ListParagraph"/>
        <w:spacing w:lineRule="auto" w:line="360" w:before="57" w:after="57"/>
        <w:ind w:hanging="0" w:left="0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/>
          <w:color w:val="000000"/>
          <w:sz w:val="22"/>
          <w:szCs w:val="22"/>
        </w:rPr>
        <w:tab/>
        <w:t>12.10 Qualificação Econômico-Financeira</w:t>
      </w:r>
      <w:r>
        <w:rPr>
          <w:rFonts w:cs="Verdana" w:ascii="Verdana" w:hAnsi="Verdana"/>
          <w:color w:val="000000"/>
          <w:sz w:val="22"/>
          <w:szCs w:val="22"/>
        </w:rPr>
        <w:t>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12.10.1 Certidão negativa de falência, recuperação judicial e extrajudicial, expedida pelo cartório distribuidor da sede da Licitante ou por meio digital, emitida em até 30 (trinta) dias anteriores à data de abertura da Licitação;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12.10.2 Havendo algum prazo de validade estabelecido por cartório na certidão citada na letra anterio</w:t>
      </w:r>
      <w:r>
        <w:rPr>
          <w:rFonts w:cs="Verdana" w:ascii="Verdana" w:hAnsi="Verdana"/>
          <w:color w:val="000000"/>
          <w:sz w:val="22"/>
          <w:szCs w:val="22"/>
        </w:rPr>
        <w:t>r, será considerado o prazo constante da certidão para comprovação da sua validade.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57" w:after="57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color w:val="000000"/>
          <w:sz w:val="22"/>
          <w:szCs w:val="22"/>
        </w:rPr>
        <w:t>12.10.3 Para a contagem do prazo estabelecido na letra “a” deste capítulo, será contado a partir do primeiro dia que antecede a data da realização desta licitação.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360" w:before="0" w:after="0"/>
        <w:ind w:hanging="0" w:left="-79" w:right="0"/>
        <w:jc w:val="both"/>
        <w:rPr>
          <w:rFonts w:ascii="Verdana" w:hAnsi="Verdana"/>
          <w:sz w:val="22"/>
          <w:szCs w:val="22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>
      <w:pPr>
        <w:pStyle w:val="Normal"/>
        <w:tabs>
          <w:tab w:val="clear" w:pos="708"/>
          <w:tab w:val="left" w:pos="850" w:leader="none"/>
        </w:tabs>
        <w:spacing w:lineRule="auto" w:line="240" w:before="0" w:after="0"/>
        <w:ind w:hanging="0" w:left="-79" w:right="0"/>
        <w:jc w:val="both"/>
        <w:rPr>
          <w:rFonts w:ascii="Verdana" w:hAnsi="Verdana" w:cs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</w:pPr>
      <w:r>
        <w:rPr>
          <w:rFonts w:cs="Verdana" w:ascii="Verdana" w:hAnsi="Verdana"/>
          <w:b w:val="false"/>
          <w:bCs w:val="false"/>
          <w:iCs/>
          <w:color w:val="000000"/>
          <w:sz w:val="22"/>
          <w:szCs w:val="22"/>
          <w:shd w:fill="auto" w:val="clear"/>
          <w:lang w:eastAsia="en-US"/>
        </w:rPr>
      </w:r>
    </w:p>
    <w:p>
      <w:pPr>
        <w:pStyle w:val="Normal"/>
        <w:widowControl/>
        <w:numPr>
          <w:ilvl w:val="0"/>
          <w:numId w:val="0"/>
        </w:numPr>
        <w:suppressAutoHyphens w:val="true"/>
        <w:bidi w:val="0"/>
        <w:spacing w:lineRule="auto" w:line="360" w:before="57" w:after="57"/>
        <w:ind w:hanging="0" w:left="-113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13. </w:t>
      </w:r>
      <w:r>
        <w:rPr>
          <w:rFonts w:cs="Arial" w:ascii="Verdana" w:hAnsi="Verdana"/>
          <w:b/>
          <w:bCs w:val="false"/>
          <w:color w:val="000000"/>
          <w:sz w:val="22"/>
          <w:szCs w:val="22"/>
        </w:rPr>
        <w:t>CONTRATAÇÕES CORRELATAS E/OU INTERDEPENDENTES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false"/>
        <w:bidi w:val="0"/>
        <w:spacing w:lineRule="auto" w:line="360" w:before="0" w:after="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sz w:val="22"/>
          <w:szCs w:val="22"/>
        </w:rPr>
        <w:t>13.1. Não se verifica contratações correlatas ou interdependentes para a viabilidade e contratação desta demanda.</w:t>
      </w:r>
    </w:p>
    <w:p>
      <w:pPr>
        <w:pStyle w:val="Normal"/>
        <w:widowControl/>
        <w:numPr>
          <w:ilvl w:val="0"/>
          <w:numId w:val="0"/>
        </w:numPr>
        <w:suppressAutoHyphens w:val="false"/>
        <w:overflowPunct w:val="false"/>
        <w:bidi w:val="0"/>
        <w:spacing w:lineRule="auto" w:line="240" w:before="0" w:after="0"/>
        <w:ind w:hanging="0" w:left="-57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widowControl/>
        <w:suppressAutoHyphens w:val="false"/>
        <w:overflowPunct w:val="false"/>
        <w:bidi w:val="0"/>
        <w:spacing w:lineRule="auto" w:line="360" w:before="0" w:after="0"/>
        <w:ind w:hanging="0" w:left="-57" w:right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14. RESULTADOS PRETENDIDOS COM A CONTRATAÇÃO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SimSun;宋体" w:cs="Times New Roman" w:ascii="Verdana" w:hAnsi="Verdana"/>
          <w:color w:val="000000"/>
          <w:kern w:val="2"/>
          <w:sz w:val="22"/>
          <w:szCs w:val="22"/>
          <w:shd w:fill="auto" w:val="clear"/>
          <w:lang w:val="pt-BR" w:eastAsia="zh-CN" w:bidi="hi-IN"/>
        </w:rPr>
        <w:t>Agilidade na aquisição.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SimSun;宋体" w:cs="Times New Roman" w:ascii="Verdana" w:hAnsi="Verdana"/>
          <w:color w:val="000000"/>
          <w:kern w:val="2"/>
          <w:sz w:val="22"/>
          <w:szCs w:val="22"/>
          <w:shd w:fill="auto" w:val="clear"/>
          <w:lang w:val="pt-BR" w:eastAsia="zh-CN" w:bidi="hi-IN"/>
        </w:rPr>
        <w:t>Melhor planejamento dos serviços diários.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Times New Roman" w:ascii="Verdana" w:hAnsi="Verdana"/>
          <w:sz w:val="22"/>
          <w:szCs w:val="22"/>
          <w:shd w:fill="auto" w:val="clear"/>
        </w:rPr>
        <w:t>Melhoria no atendimento dos pedidos de todas as Secretarias.</w:t>
      </w:r>
    </w:p>
    <w:p>
      <w:pPr>
        <w:pStyle w:val="Padro1"/>
        <w:numPr>
          <w:ilvl w:val="0"/>
          <w:numId w:val="1"/>
        </w:numPr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Arial" w:cs="Arial" w:ascii="Verdana" w:hAnsi="Verdana"/>
          <w:b w:val="false"/>
          <w:bCs w:val="false"/>
          <w:color w:val="000000"/>
          <w:kern w:val="0"/>
          <w:sz w:val="22"/>
          <w:szCs w:val="22"/>
          <w:shd w:fill="auto" w:val="clear"/>
          <w:lang w:val="pt-BR" w:eastAsia="zh-CN" w:bidi="ar-SA"/>
        </w:rPr>
        <w:t>Melhoria no atendimento ao cidadão.</w:t>
      </w:r>
    </w:p>
    <w:p>
      <w:pPr>
        <w:pStyle w:val="Padro1"/>
        <w:numPr>
          <w:ilvl w:val="0"/>
          <w:numId w:val="0"/>
        </w:numPr>
        <w:spacing w:lineRule="auto" w:line="240" w:before="0" w:after="0"/>
        <w:ind w:hanging="0" w:left="720"/>
        <w:jc w:val="both"/>
        <w:rPr>
          <w:rFonts w:ascii="Verdana" w:hAnsi="Verdana" w:cs="Arial"/>
          <w:b/>
          <w:color w:val="000000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15. PROVIDÊNCIAS A SEREM ADOTADAS</w:t>
      </w:r>
    </w:p>
    <w:p>
      <w:pPr>
        <w:pStyle w:val="Normal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ascii="Verdana" w:hAnsi="Verdana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  <w:t>15.1. A Administração Pública contará com as Secretarias requisitantes responsável por acompanhar a entrega dos produtos, bem como conferência das especificações descritas neste ETP.</w:t>
      </w:r>
    </w:p>
    <w:p>
      <w:pPr>
        <w:pStyle w:val="Normal"/>
        <w:spacing w:lineRule="auto" w:line="240" w:before="0" w:after="0"/>
        <w:jc w:val="both"/>
        <w:rPr>
          <w:rFonts w:ascii="Verdana" w:hAnsi="Verdana" w:eastAsia="Times New Roman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</w:pPr>
      <w:r>
        <w:rPr>
          <w:rFonts w:eastAsia="Times New Roman" w:ascii="Verdana" w:hAnsi="Verdana"/>
          <w:b w:val="false"/>
          <w:bCs w:val="false"/>
          <w:kern w:val="0"/>
          <w:sz w:val="22"/>
          <w:szCs w:val="22"/>
          <w:shd w:fill="auto" w:val="clear"/>
          <w:lang w:val="pt-BR" w:eastAsia="zh-CN" w:bidi="ar-SA"/>
        </w:rPr>
      </w:r>
    </w:p>
    <w:p>
      <w:pPr>
        <w:pStyle w:val="Normal"/>
        <w:suppressAutoHyphens w:val="false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16. POSSÍVEIS IMPACTOS AMBIENTAIS</w:t>
      </w:r>
    </w:p>
    <w:p>
      <w:pPr>
        <w:pStyle w:val="Normal"/>
        <w:widowControl/>
        <w:suppressAutoHyphens w:val="true"/>
        <w:bidi w:val="0"/>
        <w:spacing w:lineRule="auto" w:line="360" w:before="0" w:after="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eastAsia="Times New Roman" w:cs="Arial" w:ascii="Verdana" w:hAnsi="Verdana"/>
          <w:b w:val="false"/>
          <w:bCs w:val="false"/>
          <w:i w:val="false"/>
          <w:caps w:val="false"/>
          <w:smallCaps w:val="false"/>
          <w:color w:val="auto"/>
          <w:spacing w:val="0"/>
          <w:kern w:val="0"/>
          <w:sz w:val="22"/>
          <w:szCs w:val="22"/>
          <w:lang w:val="pt-BR" w:eastAsia="zh-CN" w:bidi="ar-SA"/>
        </w:rPr>
        <w:t>16.1. Não se verifica impactos ambientais da contratação.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0" w:left="0" w:right="0"/>
        <w:jc w:val="both"/>
        <w:rPr>
          <w:rFonts w:ascii="Verdana" w:hAnsi="Verdana" w:cs="Arial"/>
          <w:b w:val="false"/>
          <w:bCs w:val="false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17. DECLARAÇÕES DE VIABILIDADE</w:t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17.1 Neste sentido, a equipe de planejamento deste ETP e de acordo com a autoridade deste requerente, declara viável esta contratação, com base nos elementos apresentados neste documento.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 w:cs="Arial"/>
          <w:color w:val="000000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color w:val="000000"/>
          <w:sz w:val="22"/>
          <w:szCs w:val="22"/>
        </w:rPr>
        <w:t>18. JUSTIFICATIVAS DA VIABILIDADE</w:t>
      </w:r>
    </w:p>
    <w:p>
      <w:pPr>
        <w:pStyle w:val="BodyText"/>
        <w:spacing w:lineRule="auto" w:line="360" w:before="0" w:after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18.1. Diante da necessidade de aquisição regular de materiais de construção, justifica-se a adoção do sistema de registro de preços. Este estudo técnico preliminar subsidiará a elaboração do edital e demais documentos necessários para a licitação. </w:t>
      </w:r>
    </w:p>
    <w:p>
      <w:pPr>
        <w:pStyle w:val="Normal"/>
        <w:spacing w:lineRule="auto" w:line="240" w:before="0" w:after="0"/>
        <w:contextualSpacing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color w:val="000000"/>
          <w:sz w:val="22"/>
          <w:szCs w:val="22"/>
        </w:rPr>
        <w:t xml:space="preserve">19. ADEQUAÇÃO ORÇAMENTÁRIA </w:t>
      </w:r>
    </w:p>
    <w:p>
      <w:pPr>
        <w:pStyle w:val="Normal"/>
        <w:numPr>
          <w:ilvl w:val="0"/>
          <w:numId w:val="0"/>
        </w:numPr>
        <w:spacing w:lineRule="auto" w:line="360"/>
        <w:ind w:hanging="0" w:left="0" w:right="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>19.1.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>
      <w:pPr>
        <w:pStyle w:val="Normal"/>
        <w:numPr>
          <w:ilvl w:val="0"/>
          <w:numId w:val="0"/>
        </w:numPr>
        <w:spacing w:lineRule="auto" w:line="240"/>
        <w:ind w:hanging="0" w:left="0" w:right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numPr>
          <w:ilvl w:val="0"/>
          <w:numId w:val="1"/>
        </w:numPr>
        <w:spacing w:lineRule="auto" w:line="360" w:before="0" w:after="246"/>
        <w:ind w:hanging="0" w:left="360" w:right="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color w:val="000000"/>
          <w:sz w:val="22"/>
          <w:szCs w:val="22"/>
          <w:shd w:fill="auto" w:val="clear"/>
        </w:rPr>
        <w:t>Secretaria Municipal de Obras e Desenvolvimento Urbano FICHA – FONTE: 00178</w:t>
      </w:r>
      <w:r>
        <w:rPr>
          <w:rFonts w:eastAsia="Times New Roman" w:cs="Arial" w:ascii="Verdana" w:hAnsi="Verdana"/>
          <w:color w:val="000000"/>
          <w:kern w:val="0"/>
          <w:sz w:val="22"/>
          <w:szCs w:val="22"/>
          <w:shd w:fill="auto" w:val="clear"/>
          <w:lang w:val="pt-BR" w:eastAsia="pt-BR" w:bidi="ar-SA"/>
        </w:rPr>
        <w:t>-</w:t>
      </w:r>
      <w:r>
        <w:rPr>
          <w:rFonts w:cs="Arial" w:ascii="Verdana" w:hAnsi="Verdana"/>
          <w:color w:val="000000"/>
          <w:sz w:val="22"/>
          <w:szCs w:val="22"/>
          <w:shd w:fill="auto" w:val="clear"/>
        </w:rPr>
        <w:t xml:space="preserve">15000000000 o valor de R$ </w:t>
      </w:r>
      <w:r>
        <w:rPr>
          <w:rFonts w:cs="Arial" w:ascii="Verdana" w:hAnsi="Verdana"/>
          <w:color w:val="000000"/>
          <w:sz w:val="22"/>
          <w:szCs w:val="22"/>
          <w:shd w:fill="auto" w:val="clear"/>
        </w:rPr>
        <w:t>104.328,10 (cento e quatro mil trezentos e vinte e oito reais e dez centavos)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/>
          <w:bCs/>
          <w:color w:val="000000"/>
          <w:sz w:val="22"/>
          <w:szCs w:val="22"/>
        </w:rPr>
        <w:t>20. DOS RESPONSÁVEIS PELA ELABORAÇÃO DO TERMO DE REFERÊNCIA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>20.1. A compilação d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e parte das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informações mencionados </w:t>
      </w:r>
      <w:r>
        <w:rPr>
          <w:rFonts w:eastAsia="Times New Roman" w:cs="Arial" w:ascii="Verdana" w:hAnsi="Verdana"/>
          <w:b w:val="false"/>
          <w:bCs w:val="false"/>
          <w:color w:val="000000"/>
          <w:kern w:val="0"/>
          <w:sz w:val="22"/>
          <w:szCs w:val="22"/>
          <w:lang w:val="pt-BR" w:eastAsia="pt-BR" w:bidi="ar-SA"/>
        </w:rPr>
        <w:t>na</w:t>
      </w:r>
      <w:r>
        <w:rPr>
          <w:rFonts w:cs="Arial" w:ascii="Verdana" w:hAnsi="Verdana"/>
          <w:b w:val="false"/>
          <w:bCs w:val="false"/>
          <w:color w:val="000000"/>
          <w:sz w:val="22"/>
          <w:szCs w:val="22"/>
        </w:rPr>
        <w:t xml:space="preserve"> elaboração deste Termo de Referência foram estruturadas através do ETP – Estudo Técnico Preliminar elaborado pela secretaria requisitante.</w:t>
      </w:r>
    </w:p>
    <w:p>
      <w:pPr>
        <w:pStyle w:val="Normal"/>
        <w:spacing w:lineRule="auto" w:line="360"/>
        <w:jc w:val="both"/>
        <w:rPr>
          <w:rFonts w:cs="Arial"/>
          <w:b w:val="false"/>
          <w:bCs w:val="false"/>
          <w:color w:val="000000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cs="Arial"/>
          <w:b w:val="false"/>
          <w:bCs w:val="false"/>
          <w:color w:val="000000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  <w:shd w:fill="auto" w:val="clear"/>
        </w:rPr>
      </w:pPr>
      <w:r>
        <w:rPr>
          <w:rFonts w:ascii="Verdana" w:hAnsi="Verdana"/>
          <w:sz w:val="22"/>
          <w:szCs w:val="22"/>
          <w:shd w:fill="auto" w:val="clear"/>
        </w:rPr>
      </w:r>
    </w:p>
    <w:p>
      <w:pPr>
        <w:pStyle w:val="Normal"/>
        <w:spacing w:lineRule="auto" w:line="360"/>
        <w:jc w:val="right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  <w:shd w:fill="auto" w:val="clear"/>
        </w:rPr>
        <w:t>São Gabriel da Palha, 2</w:t>
      </w:r>
      <w:r>
        <w:rPr>
          <w:rFonts w:ascii="Verdana" w:hAnsi="Verdana"/>
          <w:color w:val="000000"/>
          <w:sz w:val="22"/>
          <w:szCs w:val="22"/>
          <w:shd w:fill="auto" w:val="clear"/>
        </w:rPr>
        <w:t>6</w:t>
      </w:r>
      <w:r>
        <w:rPr>
          <w:rFonts w:ascii="Verdana" w:hAnsi="Verdana"/>
          <w:color w:val="000000"/>
          <w:sz w:val="22"/>
          <w:szCs w:val="22"/>
          <w:shd w:fill="auto" w:val="clear"/>
        </w:rPr>
        <w:t xml:space="preserve"> de maio</w:t>
      </w:r>
      <w:r>
        <w:rPr>
          <w:rFonts w:eastAsia="Times New Roman" w:cs="Times New Roman" w:ascii="Verdana" w:hAnsi="Verdana"/>
          <w:color w:val="000000"/>
          <w:kern w:val="0"/>
          <w:sz w:val="22"/>
          <w:szCs w:val="22"/>
          <w:shd w:fill="auto" w:val="clear"/>
          <w:lang w:val="pt-BR" w:eastAsia="pt-BR" w:bidi="ar-SA"/>
        </w:rPr>
        <w:t xml:space="preserve"> </w:t>
      </w:r>
      <w:r>
        <w:rPr>
          <w:rFonts w:ascii="Verdana" w:hAnsi="Verdana"/>
          <w:color w:val="000000"/>
          <w:sz w:val="22"/>
          <w:szCs w:val="22"/>
          <w:shd w:fill="auto" w:val="clear"/>
        </w:rPr>
        <w:t>de 2025</w:t>
      </w:r>
    </w:p>
    <w:p>
      <w:pPr>
        <w:pStyle w:val="Normal"/>
        <w:spacing w:lineRule="auto" w:line="360"/>
        <w:jc w:val="right"/>
        <w:rPr>
          <w:color w:val="000000"/>
          <w:shd w:fill="auto" w:val="clear"/>
        </w:rPr>
      </w:pPr>
      <w:r>
        <w:rPr>
          <w:rFonts w:ascii="Verdana" w:hAnsi="Verdana"/>
          <w:sz w:val="22"/>
          <w:szCs w:val="22"/>
        </w:rPr>
      </w:r>
    </w:p>
    <w:p>
      <w:pPr>
        <w:pStyle w:val="Normal"/>
        <w:spacing w:lineRule="auto" w:line="360"/>
        <w:jc w:val="right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bookmarkStart w:id="8" w:name="_GoBack1"/>
      <w:bookmarkStart w:id="9" w:name="_GoBack"/>
      <w:bookmarkEnd w:id="8"/>
      <w:bookmarkEnd w:id="9"/>
      <w:r>
        <w:rPr>
          <w:rFonts w:cs="Arial" w:ascii="Verdana" w:hAnsi="Verdana"/>
          <w:b/>
          <w:bCs/>
          <w:color w:val="000000"/>
          <w:sz w:val="22"/>
          <w:szCs w:val="22"/>
        </w:rPr>
        <w:t>Elaborado por:</w:t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RODOLFO ANTÔNIO DA SILVA NETO</w:t>
      </w:r>
    </w:p>
    <w:p>
      <w:pPr>
        <w:pStyle w:val="Normal"/>
        <w:spacing w:lineRule="auto" w:line="24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Agente de Serviços Técnicos – Portaria n° 9.965/2025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000406</w:t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 w:cs="Arial"/>
          <w:b/>
          <w:bCs/>
          <w:sz w:val="22"/>
          <w:szCs w:val="22"/>
        </w:rPr>
      </w:pPr>
      <w:r>
        <w:rPr>
          <w:rFonts w:cs="Arial" w:ascii="Verdana" w:hAnsi="Verdana"/>
          <w:b/>
          <w:bCs/>
          <w:sz w:val="22"/>
          <w:szCs w:val="22"/>
        </w:rPr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RUTH BARBARA DA SILWA NASCIMENTO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Agente de Serviços Técnicos - Decreto n° 4.816/2025.</w:t>
      </w:r>
    </w:p>
    <w:p>
      <w:pPr>
        <w:pStyle w:val="Normal"/>
        <w:spacing w:lineRule="auto" w:line="240"/>
        <w:jc w:val="both"/>
        <w:rPr>
          <w:rFonts w:ascii="Verdana" w:hAnsi="Verdana"/>
          <w:sz w:val="22"/>
          <w:szCs w:val="22"/>
        </w:rPr>
      </w:pPr>
      <w:r>
        <w:rPr>
          <w:rFonts w:cs="Arial" w:ascii="Verdana" w:hAnsi="Verdana"/>
          <w:b w:val="false"/>
          <w:bCs w:val="false"/>
          <w:sz w:val="22"/>
          <w:szCs w:val="22"/>
        </w:rPr>
        <w:t>Mat. nº 002983</w:t>
      </w:r>
    </w:p>
    <w:p>
      <w:pPr>
        <w:pStyle w:val="Normal"/>
        <w:spacing w:lineRule="auto" w:line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</w:r>
      <w:bookmarkStart w:id="10" w:name="art122%252525252525252525252525252525254"/>
      <w:bookmarkStart w:id="11" w:name="art122%252525252525252525252525252525254"/>
      <w:bookmarkEnd w:id="11"/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1517" w:right="905" w:gutter="0" w:header="227" w:top="851" w:footer="567" w:bottom="851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Ecofont_Spranq_eco_Sans">
    <w:charset w:val="00"/>
    <w:family w:val="roman"/>
    <w:pitch w:val="variable"/>
  </w:font>
  <w:font w:name="Verdana">
    <w:charset w:val="01"/>
    <w:family w:val="swiss"/>
    <w:pitch w:val="variable"/>
  </w:font>
  <w:font w:name="Verdana">
    <w:charset w:val="00"/>
    <w:family w:val="roman"/>
    <w:pitch w:val="variable"/>
  </w:font>
  <w:font w:name="Arial Narrow">
    <w:charset w:val="00"/>
    <w:family w:val="roman"/>
    <w:pitch w:val="variable"/>
  </w:font>
  <w:font w:name="Tahoma">
    <w:charset w:val="00"/>
    <w:family w:val="roman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left" w:pos="540" w:leader="none"/>
        <w:tab w:val="center" w:pos="4419" w:leader="none"/>
        <w:tab w:val="center" w:pos="4536" w:leader="none"/>
        <w:tab w:val="right" w:pos="8838" w:leader="none"/>
      </w:tabs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 xml:space="preserve">Praça Vicente Glazar, 159 | São Gabriel da Palha-ES | CEP 29780 000  </w:t>
    </w:r>
  </w:p>
  <w:p>
    <w:pPr>
      <w:pStyle w:val="Footer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PageNumber"/>
        <w:rFonts w:cs="Tahoma" w:ascii="Tahoma" w:hAnsi="Tahoma"/>
        <w:sz w:val="16"/>
        <w:szCs w:val="16"/>
      </w:rPr>
      <w:t>Fone/Fax (027) 3727-1366 | E-mail: compras@saogabriel.es.gov.br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</w:r>
  </w:p>
  <w:p>
    <w:pPr>
      <w:pStyle w:val="Normal"/>
      <w:rPr>
        <w:rFonts w:ascii="Verdana" w:hAnsi="Verdana"/>
        <w:sz w:val="26"/>
        <w:szCs w:val="26"/>
      </w:rPr>
    </w:pPr>
    <w:r>
      <w:rPr>
        <w:rFonts w:ascii="Verdana" w:hAnsi="Verdana"/>
        <w:sz w:val="26"/>
        <w:szCs w:val="26"/>
      </w:rPr>
      <w:drawing>
        <wp:anchor behindDoc="1" distT="0" distB="0" distL="114300" distR="114300" simplePos="0" locked="0" layoutInCell="0" allowOverlap="1" relativeHeight="1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  <w:br/>
    </w:r>
    <w:r>
      <w:rPr>
        <w:rFonts w:ascii="Arial Narrow" w:hAnsi="Arial Narrow"/>
        <w:b/>
        <w:sz w:val="20"/>
      </w:rPr>
      <w:t>Departamento De Compras e Contratos</w:t>
    </w:r>
  </w:p>
  <w:p>
    <w:pPr>
      <w:pStyle w:val="Normal"/>
      <w:jc w:val="center"/>
      <w:rPr>
        <w:rFonts w:ascii="Arial Narrow" w:hAnsi="Arial Narrow"/>
        <w:b/>
        <w:sz w:val="20"/>
      </w:rPr>
    </w:pPr>
    <w:r>
      <w:rPr>
        <w:rFonts w:ascii="Arial Narrow" w:hAnsi="Arial Narrow"/>
        <w:b/>
        <w:sz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pPr>
      <w:keepNext w:val="true"/>
      <w:keepLines/>
      <w:spacing w:before="480" w:after="0"/>
      <w:outlineLvl w:val="0"/>
    </w:pPr>
    <w:rPr>
      <w:rFonts w:ascii="Cambria" w:hAnsi="Cambria" w:eastAsia="Calibri" w:cs="Tahoma"/>
      <w:b/>
      <w:bCs/>
      <w:color w:themeColor="accent1" w:themeShade="bf" w:val="365F91"/>
      <w:sz w:val="28"/>
      <w:szCs w:val="28"/>
    </w:rPr>
  </w:style>
  <w:style w:type="character" w:styleId="DefaultParagraphFont">
    <w:name w:val="Default Paragraph Font"/>
    <w:qFormat/>
    <w:rPr/>
  </w:style>
  <w:style w:type="character" w:styleId="PageNumber">
    <w:name w:val="page number"/>
    <w:basedOn w:val="DefaultParagraphFont"/>
    <w:qFormat/>
    <w:rPr/>
  </w:style>
  <w:style w:type="character" w:styleId="CabealhoChar">
    <w:name w:val="Cabeçalh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RodapChar">
    <w:name w:val="Rodapé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styleId="CorpodetextoChar">
    <w:name w:val="Corpo de texto Char"/>
    <w:basedOn w:val="DefaultParagraphFont"/>
    <w:qFormat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styleId="CitaoChar">
    <w:name w:val="Citação Char"/>
    <w:basedOn w:val="DefaultParagraphFont"/>
    <w:qFormat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1Char">
    <w:name w:val="Nivel1 Char"/>
    <w:basedOn w:val="DefaultParagraphFont"/>
    <w:link w:val="Nivel1"/>
    <w:qFormat/>
    <w:rPr>
      <w:rFonts w:ascii="Arial" w:hAnsi="Arial" w:eastAsia="Calibri" w:cs="Arial"/>
      <w:b/>
      <w:color w:val="000000"/>
      <w:sz w:val="32"/>
      <w:szCs w:val="32"/>
    </w:rPr>
  </w:style>
  <w:style w:type="character" w:styleId="Nivel2Char">
    <w:name w:val="Nivel 2 Char"/>
    <w:basedOn w:val="DefaultParagraphFont"/>
    <w:link w:val="Nivel2"/>
    <w:qFormat/>
    <w:rPr>
      <w:rFonts w:ascii="Arial" w:hAnsi="Arial" w:cs="Arial"/>
      <w:color w:val="000000"/>
    </w:rPr>
  </w:style>
  <w:style w:type="character" w:styleId="Strong">
    <w:name w:val="Strong"/>
    <w:qFormat/>
    <w:rPr>
      <w:b/>
      <w:bCs/>
    </w:rPr>
  </w:style>
  <w:style w:type="character" w:styleId="Ttulo1Char">
    <w:name w:val="Título 1 Char"/>
    <w:basedOn w:val="DefaultParagraphFont"/>
    <w:qFormat/>
    <w:rPr>
      <w:rFonts w:ascii="Cambria" w:hAnsi="Cambria" w:eastAsia="Calibri" w:cs="Tahoma"/>
      <w:b/>
      <w:bCs/>
      <w:color w:themeColor="accent1" w:themeShade="bf" w:val="365F91"/>
      <w:sz w:val="28"/>
      <w:szCs w:val="28"/>
      <w:lang w:eastAsia="pt-BR"/>
    </w:rPr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FollowedHyperlink">
    <w:name w:val="FollowedHyperlink"/>
    <w:rPr>
      <w:color w:val="800080"/>
      <w:u w:val="single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Header">
    <w:name w:val="header"/>
    <w:basedOn w:val="Normal"/>
    <w:link w:val="Cabealho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Footer">
    <w:name w:val="footer"/>
    <w:basedOn w:val="Normal"/>
    <w:link w:val="RodapChar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ListParagraph">
    <w:name w:val="List Paragraph"/>
    <w:basedOn w:val="Normal"/>
    <w:qFormat/>
    <w:pPr>
      <w:spacing w:before="0" w:after="0"/>
      <w:ind w:hanging="0" w:left="720"/>
      <w:contextualSpacing/>
    </w:pPr>
    <w:rPr/>
  </w:style>
  <w:style w:type="paragraph" w:styleId="Tabelanormal1">
    <w:name w:val="Tabela normal1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Times New Roman" w:hAnsi="Times New Roman" w:eastAsia="Tahoma" w:cs="Times New Roman"/>
      <w:color w:val="auto"/>
      <w:kern w:val="0"/>
      <w:sz w:val="20"/>
      <w:szCs w:val="20"/>
      <w:lang w:val="pt-BR" w:eastAsia="pt-BR" w:bidi="ar-SA"/>
    </w:rPr>
  </w:style>
  <w:style w:type="paragraph" w:styleId="Quote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fill="FFFFCC"/>
      <w:suppressAutoHyphens w:val="false"/>
      <w:spacing w:before="120" w:after="0"/>
      <w:jc w:val="both"/>
    </w:pPr>
    <w:rPr>
      <w:rFonts w:ascii="Arial" w:hAnsi="Arial" w:eastAsia="Calibri" w:cs="Tahoma"/>
      <w:i/>
      <w:iCs/>
      <w:color w:val="000000"/>
      <w:sz w:val="20"/>
      <w:szCs w:val="24"/>
      <w:lang w:eastAsia="en-US"/>
    </w:rPr>
  </w:style>
  <w:style w:type="paragraph" w:styleId="Nivel1">
    <w:name w:val="Nivel1"/>
    <w:basedOn w:val="Heading1"/>
    <w:next w:val="Normal"/>
    <w:link w:val="Nivel1Char"/>
    <w:qFormat/>
    <w:pPr>
      <w:suppressAutoHyphens w:val="false"/>
      <w:spacing w:lineRule="auto" w:line="276" w:before="480" w:after="120"/>
      <w:jc w:val="both"/>
      <w:outlineLvl w:val="9"/>
    </w:pPr>
    <w:rPr>
      <w:rFonts w:ascii="Arial" w:hAnsi="Arial" w:cs="Arial"/>
      <w:bCs w:val="false"/>
      <w:color w:themeColor="accent1" w:themeShade="bf" w:val="000000"/>
      <w:sz w:val="32"/>
      <w:szCs w:val="32"/>
      <w:lang w:eastAsia="en-US"/>
    </w:rPr>
  </w:style>
  <w:style w:type="paragraph" w:styleId="Standard">
    <w:name w:val="Standard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citao2">
    <w:name w:val="citação 2"/>
    <w:basedOn w:val="Quote"/>
    <w:qFormat/>
    <w:pPr>
      <w:suppressAutoHyphens w:val="true"/>
    </w:pPr>
    <w:rPr>
      <w:kern w:val="2"/>
      <w:szCs w:val="20"/>
      <w:lang w:eastAsia="zh-CN" w:bidi="hi-IN"/>
    </w:rPr>
  </w:style>
  <w:style w:type="paragraph" w:styleId="Nivel2">
    <w:name w:val="Nivel 2"/>
    <w:basedOn w:val="Normal"/>
    <w:link w:val="Nivel2Char"/>
    <w:qFormat/>
    <w:pPr>
      <w:suppressAutoHyphens w:val="false"/>
      <w:spacing w:lineRule="auto" w:line="276" w:before="120" w:after="120"/>
      <w:jc w:val="both"/>
    </w:pPr>
    <w:rPr>
      <w:rFonts w:ascii="Arial" w:hAnsi="Arial" w:eastAsia="Calibri" w:cs="Arial"/>
      <w:color w:val="000000"/>
      <w:sz w:val="22"/>
      <w:szCs w:val="22"/>
      <w:lang w:eastAsia="en-US"/>
    </w:rPr>
  </w:style>
  <w:style w:type="paragraph" w:styleId="Nivel3">
    <w:name w:val="Nivel 3"/>
    <w:basedOn w:val="ListParagraph"/>
    <w:qFormat/>
    <w:pPr>
      <w:tabs>
        <w:tab w:val="clear" w:pos="708"/>
        <w:tab w:val="left" w:pos="360" w:leader="none"/>
      </w:tabs>
      <w:suppressAutoHyphens w:val="false"/>
      <w:spacing w:lineRule="auto" w:line="276" w:before="120" w:after="120"/>
      <w:ind w:hanging="0" w:left="425"/>
      <w:contextualSpacing/>
      <w:jc w:val="both"/>
    </w:pPr>
    <w:rPr>
      <w:rFonts w:ascii="Arial" w:hAnsi="Arial" w:cs="Arial"/>
      <w:sz w:val="20"/>
    </w:rPr>
  </w:style>
  <w:style w:type="paragraph" w:styleId="TableParagraph">
    <w:name w:val="Table Paragraph"/>
    <w:basedOn w:val="Normal"/>
    <w:qFormat/>
    <w:pPr>
      <w:widowControl w:val="false"/>
      <w:suppressAutoHyphens w:val="false"/>
    </w:pPr>
    <w:rPr>
      <w:rFonts w:ascii="Calibri" w:hAnsi="Calibri" w:eastAsia="Calibri" w:cs="Calibri"/>
      <w:sz w:val="22"/>
      <w:szCs w:val="22"/>
      <w:lang w:val="pt-PT" w:eastAsia="en-US"/>
    </w:rPr>
  </w:style>
  <w:style w:type="paragraph" w:styleId="PADRO">
    <w:name w:val="PADRÃO"/>
    <w:qFormat/>
    <w:pPr>
      <w:keepNext w:val="true"/>
      <w:widowControl w:val="false"/>
      <w:shd w:val="clear" w:fill="FFFFFF"/>
      <w:suppressAutoHyphens w:val="true"/>
      <w:overflowPunct w:val="fals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4"/>
      <w:szCs w:val="24"/>
      <w:lang w:val="pt-BR" w:eastAsia="zh-CN" w:bidi="hi-IN"/>
    </w:rPr>
  </w:style>
  <w:style w:type="paragraph" w:styleId="Contedodatabelauser">
    <w:name w:val="Conteúdo da tabela (user)"/>
    <w:basedOn w:val="Normal"/>
    <w:qFormat/>
    <w:pPr/>
    <w:rPr/>
  </w:style>
  <w:style w:type="paragraph" w:styleId="PargrafodaLista">
    <w:name w:val="Parágrafo da Lista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Calibri" w:cs="Calibri"/>
      <w:sz w:val="22"/>
      <w:szCs w:val="22"/>
    </w:rPr>
  </w:style>
  <w:style w:type="paragraph" w:styleId="Default">
    <w:name w:val="Default"/>
    <w:qFormat/>
    <w:pPr>
      <w:widowControl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zh-CN" w:bidi="ar-SA"/>
    </w:rPr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Nivel01">
    <w:name w:val="Nivel 01"/>
    <w:basedOn w:val="Heading1"/>
    <w:qFormat/>
    <w:pPr>
      <w:keepNext w:val="true"/>
      <w:keepLines/>
      <w:tabs>
        <w:tab w:val="clear" w:pos="708"/>
        <w:tab w:val="left" w:pos="567" w:leader="none"/>
      </w:tabs>
      <w:spacing w:before="240" w:after="0"/>
      <w:jc w:val="both"/>
      <w:outlineLvl w:val="9"/>
    </w:pPr>
    <w:rPr>
      <w:rFonts w:ascii="Ecofont_Spranq_eco_Sans" w:hAnsi="Ecofont_Spranq_eco_Sans" w:eastAsia="ＭＳ ゴシック" w:cs="Times New Roman"/>
      <w:b/>
      <w:bCs/>
      <w:color w:themeColor="accent1" w:themeShade="bf" w:val="000000"/>
      <w:sz w:val="20"/>
      <w:szCs w:val="20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Padro1">
    <w:name w:val="Padrão"/>
    <w:qFormat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;宋体" w:cs="Mangal"/>
      <w:color w:val="auto"/>
      <w:kern w:val="0"/>
      <w:sz w:val="24"/>
      <w:szCs w:val="24"/>
      <w:lang w:val="pt-BR" w:eastAsia="zh-CN" w:bidi="hi-IN"/>
    </w:rPr>
  </w:style>
  <w:style w:type="numbering" w:styleId="Semlista">
    <w:name w:val="Sem lista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planalto.gov.br/ccivil_03/leis/lcp/lcp123.htm" TargetMode="External"/><Relationship Id="rId3" Type="http://schemas.openxmlformats.org/officeDocument/2006/relationships/hyperlink" Target="http://www.portaldatransparencia.gov.br/ceis" TargetMode="External"/><Relationship Id="rId4" Type="http://schemas.openxmlformats.org/officeDocument/2006/relationships/hyperlink" Target="http://www.cnj.jus.br/improbidade_adm/consultar_requerido.php" TargetMode="External"/><Relationship Id="rId5" Type="http://schemas.openxmlformats.org/officeDocument/2006/relationships/hyperlink" Target="https://www.tcees.tc.br/portal-da-transparencia/consultas/lista-de" TargetMode="External"/><Relationship Id="rId6" Type="http://schemas.openxmlformats.org/officeDocument/2006/relationships/hyperlink" Target="https://certidoesapf.apps.tcu.gov.br/" TargetMode="External"/><Relationship Id="rId7" Type="http://schemas.openxmlformats.org/officeDocument/2006/relationships/hyperlink" Target="http://www.portaldoempreendedor.gov.br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Application>LibreOffice/24.8.7.2$Windows_X86_64 LibreOffice_project/e07d0a63a46349d29051da79b1fde8160bab2a89</Application>
  <AppVersion>15.0000</AppVersion>
  <Pages>16</Pages>
  <Words>4480</Words>
  <Characters>25749</Characters>
  <CharactersWithSpaces>30110</CharactersWithSpaces>
  <Paragraphs>252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Ruth Barbara da Silwa Nascimento</dc:creator>
  <dc:description/>
  <dc:language>pt-BR</dc:language>
  <cp:lastModifiedBy/>
  <cp:lastPrinted>2024-11-06T17:12:32Z</cp:lastPrinted>
  <dcterms:modified xsi:type="dcterms:W3CDTF">2025-05-26T13:13:16Z</dcterms:modified>
  <cp:revision>182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